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10" w:line="224" w:lineRule="auto"/>
        <w:ind w:left="374"/>
        <w:rPr>
          <w:rFonts w:hint="default" w:ascii="黑体" w:hAnsi="黑体" w:eastAsia="黑体" w:cs="黑体"/>
          <w:sz w:val="32"/>
          <w:szCs w:val="32"/>
          <w:highlight w:val="none"/>
          <w:lang w:eastAsia="zh-CN"/>
        </w:rPr>
      </w:pPr>
      <w:r>
        <w:rPr>
          <w:rFonts w:ascii="黑体" w:hAnsi="黑体" w:eastAsia="黑体" w:cs="黑体"/>
          <w:spacing w:val="9"/>
          <w:sz w:val="32"/>
          <w:szCs w:val="32"/>
          <w:highlight w:val="none"/>
        </w:rPr>
        <w:t>附件</w:t>
      </w:r>
      <w:r>
        <w:rPr>
          <w:rFonts w:hint="default" w:ascii="黑体" w:hAnsi="黑体" w:eastAsia="黑体" w:cs="黑体"/>
          <w:spacing w:val="9"/>
          <w:sz w:val="32"/>
          <w:szCs w:val="32"/>
          <w:highlight w:val="none"/>
        </w:rPr>
        <w:t>4</w:t>
      </w:r>
    </w:p>
    <w:p>
      <w:pPr>
        <w:spacing w:before="172" w:line="220" w:lineRule="auto"/>
        <w:ind w:left="2631"/>
        <w:rPr>
          <w:rFonts w:hint="eastAsia" w:ascii="方正小标宋简体" w:hAnsi="方正小标宋简体" w:eastAsia="方正小标宋简体" w:cs="方正小标宋简体"/>
          <w:b w:val="0"/>
          <w:bCs w:val="0"/>
          <w:sz w:val="45"/>
          <w:szCs w:val="45"/>
          <w:highlight w:val="none"/>
        </w:rPr>
      </w:pPr>
      <w:r>
        <w:rPr>
          <w:rFonts w:hint="eastAsia" w:ascii="方正小标宋简体" w:hAnsi="方正小标宋简体" w:eastAsia="方正小标宋简体" w:cs="方正小标宋简体"/>
          <w:b w:val="0"/>
          <w:bCs w:val="0"/>
          <w:spacing w:val="10"/>
          <w:sz w:val="45"/>
          <w:szCs w:val="45"/>
          <w:highlight w:val="none"/>
        </w:rPr>
        <w:t>慢性病综合防控示范区建设指标体系(2020版)</w:t>
      </w:r>
    </w:p>
    <w:p>
      <w:pPr>
        <w:spacing w:line="175" w:lineRule="exact"/>
        <w:rPr>
          <w:highlight w:val="none"/>
        </w:rPr>
      </w:pPr>
    </w:p>
    <w:tbl>
      <w:tblPr>
        <w:tblStyle w:val="10"/>
        <w:tblW w:w="1468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89"/>
        <w:gridCol w:w="2728"/>
        <w:gridCol w:w="5982"/>
        <w:gridCol w:w="1140"/>
        <w:gridCol w:w="22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89" w:type="dxa"/>
            <w:noWrap w:val="0"/>
            <w:vAlign w:val="top"/>
          </w:tcPr>
          <w:p>
            <w:pPr>
              <w:spacing w:before="184" w:line="219" w:lineRule="auto"/>
              <w:ind w:left="90"/>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3"/>
                <w:sz w:val="24"/>
                <w:szCs w:val="24"/>
                <w:highlight w:val="none"/>
              </w:rPr>
              <w:t>指标内容</w:t>
            </w:r>
          </w:p>
        </w:tc>
        <w:tc>
          <w:tcPr>
            <w:tcW w:w="2728" w:type="dxa"/>
            <w:noWrap w:val="0"/>
            <w:vAlign w:val="top"/>
          </w:tcPr>
          <w:p>
            <w:pPr>
              <w:spacing w:before="185" w:line="220" w:lineRule="auto"/>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9"/>
                <w:sz w:val="24"/>
                <w:szCs w:val="24"/>
                <w:highlight w:val="none"/>
              </w:rPr>
              <w:t>指标要求</w:t>
            </w:r>
          </w:p>
        </w:tc>
        <w:tc>
          <w:tcPr>
            <w:tcW w:w="5982" w:type="dxa"/>
            <w:noWrap w:val="0"/>
            <w:vAlign w:val="top"/>
          </w:tcPr>
          <w:p>
            <w:pPr>
              <w:spacing w:before="182" w:line="220" w:lineRule="auto"/>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11"/>
                <w:sz w:val="24"/>
                <w:szCs w:val="24"/>
                <w:highlight w:val="none"/>
              </w:rPr>
              <w:t>赋分标准</w:t>
            </w:r>
          </w:p>
        </w:tc>
        <w:tc>
          <w:tcPr>
            <w:tcW w:w="1140" w:type="dxa"/>
            <w:noWrap w:val="0"/>
            <w:vAlign w:val="top"/>
          </w:tcPr>
          <w:p>
            <w:pPr>
              <w:spacing w:before="181" w:line="219" w:lineRule="auto"/>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5"/>
                <w:sz w:val="24"/>
                <w:szCs w:val="24"/>
                <w:highlight w:val="none"/>
              </w:rPr>
              <w:t>权重分值</w:t>
            </w:r>
          </w:p>
        </w:tc>
        <w:tc>
          <w:tcPr>
            <w:tcW w:w="2295" w:type="dxa"/>
            <w:noWrap w:val="0"/>
            <w:vAlign w:val="top"/>
          </w:tcPr>
          <w:p>
            <w:pPr>
              <w:spacing w:before="181" w:line="219" w:lineRule="auto"/>
              <w:jc w:val="center"/>
              <w:rPr>
                <w:rFonts w:hint="eastAsia" w:ascii="CESI楷体-GB2312" w:hAnsi="CESI楷体-GB2312" w:eastAsia="CESI楷体-GB2312" w:cs="CESI楷体-GB2312"/>
                <w:b/>
                <w:bCs/>
                <w:spacing w:val="-5"/>
                <w:sz w:val="24"/>
                <w:szCs w:val="24"/>
                <w:highlight w:val="none"/>
                <w:lang w:eastAsia="zh-CN"/>
              </w:rPr>
            </w:pPr>
            <w:r>
              <w:rPr>
                <w:rFonts w:hint="eastAsia" w:ascii="CESI楷体-GB2312" w:hAnsi="CESI楷体-GB2312" w:eastAsia="CESI楷体-GB2312" w:cs="CESI楷体-GB2312"/>
                <w:b/>
                <w:bCs/>
                <w:spacing w:val="-5"/>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7" w:hRule="atLeast"/>
        </w:trPr>
        <w:tc>
          <w:tcPr>
            <w:tcW w:w="1154"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政策</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发展</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(60分)</w:t>
            </w:r>
          </w:p>
        </w:tc>
        <w:tc>
          <w:tcPr>
            <w:tcW w:w="138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(一)发挥政  府主导作用</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建立多部门协作联动机制</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(18分)</w:t>
            </w: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1.辖区政府成立示范区建 设领导小组，明确并落实 部门职责，建立完善的信 息反馈沟通制度。</w:t>
            </w:r>
          </w:p>
        </w:tc>
        <w:tc>
          <w:tcPr>
            <w:tcW w:w="5982"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(1)成立辖区示范区建设领导小组，政府主要领导任组长，明确各部门职责，2分；其余0分。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(2)设立示范区建设工作办公室，1分；其余0分。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(3)每年召开1次及以上领导小组工作会议，1分；其余0分。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(4)根据实际工作需要及时召开联络员会议，1分；其余0分。</w:t>
            </w:r>
          </w:p>
        </w:tc>
        <w:tc>
          <w:tcPr>
            <w:tcW w:w="11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2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联席会议各成员单位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54"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8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2.辖区政府将慢性病防控 工作纳入当地政府经济社 会发展规划。</w:t>
            </w:r>
          </w:p>
        </w:tc>
        <w:tc>
          <w:tcPr>
            <w:tcW w:w="5982"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rPr>
              <w:t>(1)慢性病防控工作纳入政府社会经济发展规划，2分；其余0分</w:t>
            </w:r>
            <w:r>
              <w:rPr>
                <w:rFonts w:hint="eastAsia" w:ascii="仿宋_GB2312" w:hAnsi="仿宋_GB2312" w:eastAsia="仿宋_GB2312" w:cs="仿宋_GB2312"/>
                <w:color w:val="auto"/>
                <w:spacing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(2)政府制定慢性病综合防控示范区建设实施方案，1分；其余0分。</w:t>
            </w:r>
          </w:p>
        </w:tc>
        <w:tc>
          <w:tcPr>
            <w:tcW w:w="11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2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w:t>
            </w:r>
            <w:r>
              <w:rPr>
                <w:rFonts w:hint="default"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lang w:eastAsia="zh-CN"/>
              </w:rPr>
              <w:t>发展和改革局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8" w:hRule="atLeast"/>
        </w:trPr>
        <w:tc>
          <w:tcPr>
            <w:tcW w:w="1154"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8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3.慢性病防控融入各部门政策规章制度，有烟草控制、降低有害饮酒、减盐，控油、控制体重、全民健身等慢性病危险因素干预、疾病管理相关的政策规章制度。</w:t>
            </w:r>
          </w:p>
        </w:tc>
        <w:tc>
          <w:tcPr>
            <w:tcW w:w="5982"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120" w:firstLineChars="50"/>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抽查5个部门制定落实相关健康政策情况。</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(1)凡制定并落实，每个部门得1分，满分5分。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(2)制定但没有落实，每个部门得0.5分。</w:t>
            </w:r>
          </w:p>
        </w:tc>
        <w:tc>
          <w:tcPr>
            <w:tcW w:w="11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2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政府办公室、发展和改革局、财政局、人力资源和社会保障局、卫生健康局、民政局、教育局、文体广电和旅游局、总工会、机关工委及全市各部门</w:t>
            </w:r>
          </w:p>
        </w:tc>
      </w:tr>
    </w:tbl>
    <w:p>
      <w:pPr>
        <w:rPr>
          <w:highlight w:val="none"/>
        </w:rPr>
      </w:pPr>
    </w:p>
    <w:p>
      <w:pPr>
        <w:rPr>
          <w:highlight w:val="none"/>
        </w:rPr>
      </w:pPr>
    </w:p>
    <w:p>
      <w:pPr>
        <w:spacing w:line="40" w:lineRule="exact"/>
        <w:rPr>
          <w:highlight w:val="none"/>
        </w:rPr>
      </w:pPr>
    </w:p>
    <w:tbl>
      <w:tblPr>
        <w:tblStyle w:val="10"/>
        <w:tblW w:w="1463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38"/>
        <w:gridCol w:w="5908"/>
        <w:gridCol w:w="1125"/>
        <w:gridCol w:w="23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3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0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2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1154" w:type="dxa"/>
            <w:vMerge w:val="restart"/>
            <w:tcBorders>
              <w:bottom w:val="nil"/>
            </w:tcBorders>
            <w:noWrap w:val="0"/>
            <w:vAlign w:val="top"/>
          </w:tcPr>
          <w:p>
            <w:pPr>
              <w:rPr>
                <w:rFonts w:ascii="Arial"/>
                <w:sz w:val="21"/>
                <w:highlight w:val="none"/>
              </w:rPr>
            </w:pPr>
          </w:p>
        </w:tc>
        <w:tc>
          <w:tcPr>
            <w:tcW w:w="139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4.示范区建设领导小组建立工作督导制度，开展示范区建设的多部门联合督导。</w:t>
            </w:r>
          </w:p>
        </w:tc>
        <w:tc>
          <w:tcPr>
            <w:tcW w:w="590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(1)辖区政府主导每年组织2次由5个及以上部门参与的联合督导，每次得1分；低于5个部门参与得0.5分。对于在政府主导下采用第三方督导的，每年组织2次，每次得1分。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(2)督导内容主要包括部门合作建立的信息沟通共享、激励问责</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质量控制等3个基本运行机制情况，每个机制分值为1分。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政府办公室、卫生健康局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4" w:hRule="atLeast"/>
        </w:trPr>
        <w:tc>
          <w:tcPr>
            <w:tcW w:w="1154" w:type="dxa"/>
            <w:vMerge w:val="continue"/>
            <w:tcBorders>
              <w:top w:val="nil"/>
              <w:bottom w:val="nil"/>
            </w:tcBorders>
            <w:noWrap w:val="0"/>
            <w:vAlign w:val="top"/>
          </w:tcPr>
          <w:p>
            <w:pPr>
              <w:rPr>
                <w:rFonts w:ascii="Arial"/>
                <w:sz w:val="21"/>
                <w:highlight w:val="none"/>
              </w:rPr>
            </w:pP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(二)保障慢性病防控经费。(10分)</w:t>
            </w: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1.慢性病防控工作经费纳入政府年度预算、决算管理。</w:t>
            </w:r>
          </w:p>
        </w:tc>
        <w:tc>
          <w:tcPr>
            <w:tcW w:w="590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(1)慢性病防控工作经费纳入政府预算、决算管理，各2分，共4分。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(2)经费预算执行率100%,1分；其余0分。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480" w:firstLineChars="20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财政局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1154" w:type="dxa"/>
            <w:vMerge w:val="continue"/>
            <w:tcBorders>
              <w:top w:val="nil"/>
              <w:bottom w:val="nil"/>
            </w:tcBorders>
            <w:noWrap w:val="0"/>
            <w:vAlign w:val="top"/>
          </w:tcPr>
          <w:p>
            <w:pPr>
              <w:rPr>
                <w:rFonts w:ascii="Arial"/>
                <w:sz w:val="21"/>
                <w:highlight w:val="none"/>
              </w:rPr>
            </w:pPr>
          </w:p>
        </w:tc>
        <w:tc>
          <w:tcPr>
            <w:tcW w:w="139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2.辖区政府按规划、计划 提供示范区建设专项工作经费，专款专用。</w:t>
            </w:r>
          </w:p>
        </w:tc>
        <w:tc>
          <w:tcPr>
            <w:tcW w:w="590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(1)辖区提供示范区建设专项工作经费，3分；其余0分。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(2)慢性病防控经费专项管理，确保专款专用，2分；其余0分。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firstLine="480" w:firstLineChars="20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财政局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5" w:hRule="atLeast"/>
        </w:trPr>
        <w:tc>
          <w:tcPr>
            <w:tcW w:w="1154" w:type="dxa"/>
            <w:vMerge w:val="continue"/>
            <w:tcBorders>
              <w:top w:val="nil"/>
            </w:tcBorders>
            <w:noWrap w:val="0"/>
            <w:vAlign w:val="top"/>
          </w:tcPr>
          <w:p>
            <w:pPr>
              <w:rPr>
                <w:rFonts w:ascii="Arial"/>
                <w:sz w:val="21"/>
                <w:highlight w:val="none"/>
              </w:rPr>
            </w:pPr>
          </w:p>
        </w:tc>
        <w:tc>
          <w:tcPr>
            <w:tcW w:w="139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(三)建立有效的绩效管理和评价机制(11分)</w:t>
            </w: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1.辖区政府将示范区建设 实施方案相关工作纳入各相关部门年度目标管理。</w:t>
            </w:r>
          </w:p>
        </w:tc>
        <w:tc>
          <w:tcPr>
            <w:tcW w:w="590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(1)辖区政府将示范区建设工作纳入各相关部门年度目标管理，纳入绩效考核目标工作，2分；其余0分。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(2)抽查5个部门执行情况，发现2个及以上部门没有纳入目标管理和绩效考核者不得分。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政府办公室、发展和改革局、财政局、人力资源和社会保障局、卫生健康局、民政局、教育局、文体广电和旅游局、总工会、机关工委及全市各部门</w:t>
            </w:r>
          </w:p>
        </w:tc>
      </w:tr>
    </w:tbl>
    <w:p>
      <w:pPr>
        <w:rPr>
          <w:highlight w:val="none"/>
        </w:rPr>
        <w:sectPr>
          <w:footerReference r:id="rId3" w:type="default"/>
          <w:pgSz w:w="16830" w:h="11870"/>
          <w:pgMar w:top="1008" w:right="904" w:bottom="2010" w:left="1135" w:header="0" w:footer="1741" w:gutter="0"/>
          <w:pgNumType w:fmt="numberInDash"/>
          <w:cols w:space="720" w:num="1"/>
        </w:sectPr>
      </w:pPr>
    </w:p>
    <w:p>
      <w:pPr>
        <w:rPr>
          <w:highlight w:val="none"/>
        </w:rPr>
      </w:pPr>
    </w:p>
    <w:p>
      <w:pPr>
        <w:spacing w:line="100" w:lineRule="exact"/>
        <w:rPr>
          <w:highlight w:val="none"/>
        </w:rPr>
      </w:pPr>
    </w:p>
    <w:tbl>
      <w:tblPr>
        <w:tblStyle w:val="10"/>
        <w:tblW w:w="146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409"/>
        <w:gridCol w:w="2718"/>
        <w:gridCol w:w="5994"/>
        <w:gridCol w:w="1110"/>
        <w:gridCol w:w="23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40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1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9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8" w:hRule="atLeast"/>
        </w:trPr>
        <w:tc>
          <w:tcPr>
            <w:tcW w:w="1154" w:type="dxa"/>
            <w:vMerge w:val="restart"/>
            <w:tcBorders>
              <w:bottom w:val="nil"/>
            </w:tcBorders>
            <w:noWrap w:val="0"/>
            <w:vAlign w:val="top"/>
          </w:tcPr>
          <w:p>
            <w:pPr>
              <w:keepNext w:val="0"/>
              <w:keepLines w:val="0"/>
              <w:pageBreakBefore w:val="0"/>
              <w:kinsoku/>
              <w:wordWrap/>
              <w:overflowPunct/>
              <w:topLinePunct w:val="0"/>
              <w:autoSpaceDE/>
              <w:autoSpaceDN/>
              <w:bidi w:val="0"/>
              <w:adjustRightInd/>
              <w:snapToGrid/>
              <w:textAlignment w:val="auto"/>
              <w:rPr>
                <w:rFonts w:ascii="Arial"/>
                <w:sz w:val="24"/>
                <w:szCs w:val="24"/>
                <w:highlight w:val="none"/>
              </w:rPr>
            </w:pPr>
          </w:p>
        </w:tc>
        <w:tc>
          <w:tcPr>
            <w:tcW w:w="140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2.辖区政府将示范区建设 实施方案相关工作纳入各 部门绩效考核，落实问责制。</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抽取5个相关部门职能科室，询问相关职责知晓与执行情况。部门履职合格的覆盖率达100%,5分。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政府办公室、发展和改革局、财政局、人力资源和社会保障局、卫生健康局、民政局、教育局、文体广电和旅游局、总工会、机关工委及全市各部门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8" w:hRule="atLeast"/>
        </w:trPr>
        <w:tc>
          <w:tcPr>
            <w:tcW w:w="1154" w:type="dxa"/>
            <w:vMerge w:val="continue"/>
            <w:tcBorders>
              <w:top w:val="nil"/>
              <w:bottom w:val="nil"/>
            </w:tcBorders>
            <w:noWrap w:val="0"/>
            <w:vAlign w:val="top"/>
          </w:tcPr>
          <w:p>
            <w:pPr>
              <w:keepNext w:val="0"/>
              <w:keepLines w:val="0"/>
              <w:pageBreakBefore w:val="0"/>
              <w:kinsoku/>
              <w:wordWrap/>
              <w:overflowPunct/>
              <w:topLinePunct w:val="0"/>
              <w:autoSpaceDE/>
              <w:autoSpaceDN/>
              <w:bidi w:val="0"/>
              <w:adjustRightInd/>
              <w:snapToGrid/>
              <w:textAlignment w:val="auto"/>
              <w:rPr>
                <w:rFonts w:ascii="Arial"/>
                <w:sz w:val="24"/>
                <w:szCs w:val="24"/>
                <w:highlight w:val="none"/>
              </w:rPr>
            </w:pPr>
          </w:p>
        </w:tc>
        <w:tc>
          <w:tcPr>
            <w:tcW w:w="140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3.采用多种形式获取群众对辖区慢性病综合防控的参与度和满意度。</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采用多种形式获取群众对辖区慢性病综合防控的参与度和满意度，并形成相关评价报告，4分。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民政局、卫生健康局、总工会、文体广电和旅游局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8" w:hRule="atLeast"/>
        </w:trPr>
        <w:tc>
          <w:tcPr>
            <w:tcW w:w="1154" w:type="dxa"/>
            <w:vMerge w:val="continue"/>
            <w:tcBorders>
              <w:top w:val="nil"/>
              <w:bottom w:val="nil"/>
            </w:tcBorders>
            <w:noWrap w:val="0"/>
            <w:vAlign w:val="top"/>
          </w:tcPr>
          <w:p>
            <w:pPr>
              <w:keepNext w:val="0"/>
              <w:keepLines w:val="0"/>
              <w:pageBreakBefore w:val="0"/>
              <w:kinsoku/>
              <w:wordWrap/>
              <w:overflowPunct/>
              <w:topLinePunct w:val="0"/>
              <w:autoSpaceDE/>
              <w:autoSpaceDN/>
              <w:bidi w:val="0"/>
              <w:adjustRightInd/>
              <w:snapToGrid/>
              <w:textAlignment w:val="auto"/>
              <w:rPr>
                <w:rFonts w:ascii="Arial"/>
                <w:sz w:val="24"/>
                <w:szCs w:val="24"/>
                <w:highlight w:val="none"/>
              </w:rPr>
            </w:pPr>
          </w:p>
        </w:tc>
        <w:tc>
          <w:tcPr>
            <w:tcW w:w="140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(四)辖区政府定期发布慢性病及社会影响因素状况报告。(21分)</w:t>
            </w: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1.辖区政府定期发布慢性 病及社会影响因素状况报</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告。</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(1)辖区政府定期发布慢性病及社会影响因素状况报告，3分；其余0分。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(2)报告主要结果用于政府工作报告，2分；其余0分。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政府办公室、卫生健康局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8" w:hRule="atLeast"/>
        </w:trPr>
        <w:tc>
          <w:tcPr>
            <w:tcW w:w="1154" w:type="dxa"/>
            <w:vMerge w:val="continue"/>
            <w:tcBorders>
              <w:top w:val="nil"/>
            </w:tcBorders>
            <w:noWrap w:val="0"/>
            <w:vAlign w:val="top"/>
          </w:tcPr>
          <w:p>
            <w:pPr>
              <w:rPr>
                <w:rFonts w:ascii="Arial"/>
                <w:sz w:val="24"/>
                <w:szCs w:val="24"/>
                <w:highlight w:val="none"/>
              </w:rPr>
            </w:pPr>
          </w:p>
        </w:tc>
        <w:tc>
          <w:tcPr>
            <w:tcW w:w="140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2.辖区居民健康状况优于</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全国平均水平。</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(1)重大慢性病过早死亡率5年下降≥10%,8分；5%-10%,3分，其余0分。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(2)心脑血管疾病标化死亡率降至205.1/10万及以下，4分；205.1-209.7/10万，2分；高于209.7/10万不得分。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(3)70岁及以下人群慢性呼吸系统疾病标化死亡率降至9.0/10万及以下，4分；高于9.0/10万不得分。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16</w:t>
            </w:r>
          </w:p>
        </w:tc>
        <w:tc>
          <w:tcPr>
            <w:tcW w:w="23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bl>
    <w:p>
      <w:pPr>
        <w:rPr>
          <w:highlight w:val="none"/>
        </w:rPr>
        <w:sectPr>
          <w:footerReference r:id="rId4" w:type="default"/>
          <w:pgSz w:w="16830" w:h="11870"/>
          <w:pgMar w:top="1008" w:right="1004" w:bottom="1970" w:left="1074" w:header="0" w:footer="1701" w:gutter="0"/>
          <w:pgNumType w:fmt="numberInDash"/>
          <w:cols w:space="720" w:num="1"/>
        </w:sectPr>
      </w:pPr>
    </w:p>
    <w:p>
      <w:pPr>
        <w:rPr>
          <w:highlight w:val="none"/>
        </w:rPr>
      </w:pPr>
    </w:p>
    <w:tbl>
      <w:tblPr>
        <w:tblStyle w:val="10"/>
        <w:tblW w:w="147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9"/>
        <w:gridCol w:w="1434"/>
        <w:gridCol w:w="2748"/>
        <w:gridCol w:w="5974"/>
        <w:gridCol w:w="1110"/>
        <w:gridCol w:w="2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1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43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4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7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2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8" w:hRule="atLeast"/>
        </w:trPr>
        <w:tc>
          <w:tcPr>
            <w:tcW w:w="111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二、环境支持</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(35分)</w:t>
            </w:r>
          </w:p>
        </w:tc>
        <w:tc>
          <w:tcPr>
            <w:tcW w:w="1434"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(一)构建全方位健康支持性环境。(9分)</w:t>
            </w: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1.按照国家标准开展健康社区、单位、学校、食堂餐厅/酒店建设，数量逐年增加。</w:t>
            </w:r>
          </w:p>
        </w:tc>
        <w:tc>
          <w:tcPr>
            <w:tcW w:w="597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(1)健康社区占辖区社区总数≥30%,1分；30%以下0分。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(2)健康单位、学校、食堂、餐厅/酒店每类不少于5个，每类1分；每少1个扣0.5分。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rPr>
              <w:t>(3)现场调研发现每类中有1个不达标，该类不得分</w:t>
            </w:r>
            <w:r>
              <w:rPr>
                <w:rFonts w:hint="eastAsia" w:ascii="仿宋_GB2312" w:hAnsi="仿宋_GB2312" w:eastAsia="仿宋_GB2312" w:cs="仿宋_GB2312"/>
                <w:color w:val="auto"/>
                <w:spacing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复审：健康社区覆盖率逐年增加5%或达到40%及以上，1分。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健康单位、学校、食堂、餐厅/酒店每年增加2个或每类达到10个及以上，每类1分，每年增加未达标者该类不得分。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各镇</w:t>
            </w:r>
            <w:r>
              <w:rPr>
                <w:rFonts w:hint="default" w:ascii="仿宋_GB2312" w:hAnsi="仿宋_GB2312" w:eastAsia="仿宋_GB2312" w:cs="仿宋_GB2312"/>
                <w:color w:val="auto"/>
                <w:spacing w:val="0"/>
                <w:sz w:val="24"/>
                <w:szCs w:val="24"/>
                <w:highlight w:val="none"/>
                <w:lang w:eastAsia="zh-CN"/>
              </w:rPr>
              <w:t>人民</w:t>
            </w:r>
            <w:r>
              <w:rPr>
                <w:rFonts w:hint="eastAsia" w:ascii="仿宋_GB2312" w:hAnsi="仿宋_GB2312" w:eastAsia="仿宋_GB2312" w:cs="仿宋_GB2312"/>
                <w:color w:val="auto"/>
                <w:spacing w:val="0"/>
                <w:sz w:val="24"/>
                <w:szCs w:val="24"/>
                <w:highlight w:val="none"/>
                <w:lang w:eastAsia="zh-CN"/>
              </w:rPr>
              <w:t>政府、机关工委、组织部、市场监督管理局、商务局、教育局、卫生健康局、</w:t>
            </w:r>
            <w:r>
              <w:rPr>
                <w:rFonts w:hint="eastAsia" w:ascii="仿宋_GB2312" w:hAnsi="仿宋_GB2312" w:eastAsia="仿宋_GB2312" w:cs="仿宋_GB2312"/>
                <w:color w:val="auto"/>
                <w:spacing w:val="0"/>
                <w:sz w:val="24"/>
                <w:szCs w:val="24"/>
                <w:highlight w:val="none"/>
                <w:lang w:val="en-US" w:eastAsia="zh-CN"/>
              </w:rPr>
              <w:t>卫生健康综合监督执法局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7" w:hRule="atLeast"/>
        </w:trPr>
        <w:tc>
          <w:tcPr>
            <w:tcW w:w="111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34"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2.按照国家标准开展健康  主题公园、步道、小屋、 健康街区等健康支持性环境建设，数量逐年增加。</w:t>
            </w:r>
          </w:p>
        </w:tc>
        <w:tc>
          <w:tcPr>
            <w:tcW w:w="597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(1)健康主题公园、步道、小屋、街区、超市、社团等，每建设1类，1分，满分4分。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(2)现场评估发现1个不达标，该类不得分。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复审：健康步道、小屋等数量逐年有增加或每类建设数量达到3个，每类2分，满分4分，未达标者该类不得分。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发展和改革局、住房和城乡建设局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1" w:hRule="atLeast"/>
        </w:trPr>
        <w:tc>
          <w:tcPr>
            <w:tcW w:w="111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3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(二)为群众提供方便、可及的自助式健康检测服务。(4分)</w:t>
            </w: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1.社区卫生服务中心和乡镇卫生院设置自助式健康检测点，并提供个体化健康指导。</w:t>
            </w:r>
          </w:p>
        </w:tc>
        <w:tc>
          <w:tcPr>
            <w:tcW w:w="597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(1)设置健康检测点的机构覆盖率达100%,1分；其他0分。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(2)检测结果进入健康档案，实现信息利用。1分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(3)提供个性化健康指导的机构比例≥50%,2分；30-50%,1分；30%以下0分。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卫生健康局、阳光社区卫生服务中心、各乡镇卫生院</w:t>
            </w:r>
          </w:p>
        </w:tc>
      </w:tr>
    </w:tbl>
    <w:p>
      <w:pPr>
        <w:rPr>
          <w:highlight w:val="none"/>
        </w:rPr>
        <w:sectPr>
          <w:footerReference r:id="rId5" w:type="default"/>
          <w:pgSz w:w="16830" w:h="11870"/>
          <w:pgMar w:top="1008" w:right="965" w:bottom="1959" w:left="1074" w:header="0" w:footer="1720" w:gutter="0"/>
          <w:pgNumType w:fmt="numberInDash"/>
          <w:cols w:space="720" w:num="1"/>
        </w:sectPr>
      </w:pPr>
    </w:p>
    <w:p>
      <w:pPr>
        <w:spacing w:line="100" w:lineRule="exact"/>
        <w:rPr>
          <w:highlight w:val="none"/>
        </w:rPr>
      </w:pPr>
    </w:p>
    <w:p>
      <w:pPr>
        <w:spacing w:line="100" w:lineRule="exact"/>
        <w:rPr>
          <w:highlight w:val="none"/>
        </w:rPr>
      </w:pPr>
    </w:p>
    <w:p>
      <w:pPr>
        <w:spacing w:line="100" w:lineRule="exact"/>
        <w:rPr>
          <w:highlight w:val="none"/>
        </w:rPr>
      </w:pPr>
    </w:p>
    <w:p>
      <w:pPr>
        <w:spacing w:line="100" w:lineRule="exact"/>
        <w:rPr>
          <w:highlight w:val="none"/>
        </w:rPr>
      </w:pPr>
    </w:p>
    <w:p>
      <w:pPr>
        <w:spacing w:line="100" w:lineRule="exact"/>
        <w:rPr>
          <w:highlight w:val="none"/>
        </w:rPr>
      </w:pPr>
    </w:p>
    <w:p>
      <w:pPr>
        <w:spacing w:line="100" w:lineRule="exact"/>
        <w:rPr>
          <w:highlight w:val="none"/>
        </w:rPr>
      </w:pPr>
    </w:p>
    <w:p>
      <w:pPr>
        <w:spacing w:line="100" w:lineRule="exact"/>
        <w:rPr>
          <w:highlight w:val="none"/>
        </w:rPr>
      </w:pPr>
    </w:p>
    <w:p>
      <w:pPr>
        <w:spacing w:line="100" w:lineRule="exact"/>
        <w:rPr>
          <w:highlight w:val="none"/>
        </w:rPr>
      </w:pPr>
    </w:p>
    <w:tbl>
      <w:tblPr>
        <w:tblStyle w:val="10"/>
        <w:tblW w:w="147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28"/>
        <w:gridCol w:w="5994"/>
        <w:gridCol w:w="1110"/>
        <w:gridCol w:w="2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2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9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2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8" w:hRule="atLeast"/>
        </w:trPr>
        <w:tc>
          <w:tcPr>
            <w:tcW w:w="1154" w:type="dxa"/>
            <w:vMerge w:val="restart"/>
            <w:tcBorders>
              <w:bottom w:val="nil"/>
            </w:tcBorders>
            <w:noWrap w:val="0"/>
            <w:vAlign w:val="top"/>
          </w:tcPr>
          <w:p>
            <w:pPr>
              <w:spacing w:line="240" w:lineRule="auto"/>
              <w:rPr>
                <w:rFonts w:ascii="Arial"/>
                <w:sz w:val="21"/>
                <w:highlight w:val="none"/>
              </w:rPr>
            </w:pP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(三)开展全民健身运动，普及公共体育设施，提高经常参加体育锻炼人口比例。(11分)</w:t>
            </w: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1.社区建设15分钟健身圈，居民健身设施完好，提高人均体育场地面积。</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(1)社区15分钟健身圈/农村行政村体育设施覆盖率达到100%,1分；其余0分。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(2)设备完好100%,0.5分；其余0分。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(3)人均体育场地面积达2平米，0.5分；其余0分。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各镇</w:t>
            </w:r>
            <w:r>
              <w:rPr>
                <w:rFonts w:hint="default" w:ascii="仿宋_GB2312" w:hAnsi="仿宋_GB2312" w:eastAsia="仿宋_GB2312" w:cs="仿宋_GB2312"/>
                <w:color w:val="auto"/>
                <w:spacing w:val="0"/>
                <w:sz w:val="24"/>
                <w:szCs w:val="24"/>
                <w:highlight w:val="none"/>
                <w:lang w:eastAsia="zh-CN"/>
              </w:rPr>
              <w:t>人民</w:t>
            </w:r>
            <w:r>
              <w:rPr>
                <w:rFonts w:hint="eastAsia" w:ascii="仿宋_GB2312" w:hAnsi="仿宋_GB2312" w:eastAsia="仿宋_GB2312" w:cs="仿宋_GB2312"/>
                <w:color w:val="auto"/>
                <w:spacing w:val="0"/>
                <w:sz w:val="24"/>
                <w:szCs w:val="24"/>
                <w:highlight w:val="none"/>
                <w:lang w:eastAsia="zh-CN"/>
              </w:rPr>
              <w:t>政府、发展和改革局、住房和城乡建设局、文体广电和旅游局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7" w:hRule="atLeast"/>
        </w:trPr>
        <w:tc>
          <w:tcPr>
            <w:tcW w:w="1154" w:type="dxa"/>
            <w:vMerge w:val="continue"/>
            <w:tcBorders>
              <w:top w:val="nil"/>
              <w:bottom w:val="nil"/>
            </w:tcBorders>
            <w:noWrap w:val="0"/>
            <w:vAlign w:val="top"/>
          </w:tcPr>
          <w:p>
            <w:pPr>
              <w:spacing w:line="240" w:lineRule="auto"/>
              <w:rPr>
                <w:rFonts w:ascii="Arial"/>
                <w:sz w:val="21"/>
                <w:highlight w:val="none"/>
              </w:rPr>
            </w:pPr>
          </w:p>
        </w:tc>
        <w:tc>
          <w:tcPr>
            <w:tcW w:w="139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2.公共体育场地、有条件的企事业和学校的体育场地免费或低收费向社区居民开放。</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(1)公共体育场地、设施免费或低收费开放比例100%,1分；其余0分。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(2)有条件的单位免费或低收费开放比例≥30%,1分；30%以下0分。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文体广电和旅游局、教育局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7" w:hRule="atLeast"/>
        </w:trPr>
        <w:tc>
          <w:tcPr>
            <w:tcW w:w="1154" w:type="dxa"/>
            <w:vMerge w:val="continue"/>
            <w:tcBorders>
              <w:top w:val="nil"/>
              <w:bottom w:val="nil"/>
            </w:tcBorders>
            <w:noWrap w:val="0"/>
            <w:vAlign w:val="top"/>
          </w:tcPr>
          <w:p>
            <w:pPr>
              <w:spacing w:line="240" w:lineRule="auto"/>
              <w:rPr>
                <w:rFonts w:ascii="Arial"/>
                <w:sz w:val="21"/>
                <w:highlight w:val="none"/>
              </w:rPr>
            </w:pPr>
          </w:p>
        </w:tc>
        <w:tc>
          <w:tcPr>
            <w:tcW w:w="139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3.机关、企事业单位开展 工间健身活动，组织符合 单位特点的健身和竞赛活</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动。</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(1)开展工间健身活动单位覆盖率≥80%,1分；80%以下0分。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(2)每年机关、企事业单位组织开展至少1次健身竞赛活动，1分；未开展不得分。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组织部、机关工委、总工会、全市各机关企事业单位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33" w:hRule="atLeast"/>
        </w:trPr>
        <w:tc>
          <w:tcPr>
            <w:tcW w:w="1154" w:type="dxa"/>
            <w:vMerge w:val="continue"/>
            <w:tcBorders>
              <w:top w:val="nil"/>
            </w:tcBorders>
            <w:noWrap w:val="0"/>
            <w:vAlign w:val="top"/>
          </w:tcPr>
          <w:p>
            <w:pPr>
              <w:spacing w:line="240" w:lineRule="auto"/>
              <w:rPr>
                <w:rFonts w:ascii="Arial"/>
                <w:sz w:val="21"/>
                <w:highlight w:val="none"/>
              </w:rPr>
            </w:pPr>
          </w:p>
        </w:tc>
        <w:tc>
          <w:tcPr>
            <w:tcW w:w="139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4.实施青少年体育活动促进计划。</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(1)中小学生每天校内体育活动时间不少于1小时的比例达到100%,1分；100%以下，0分。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(2)国家学生体质健康标准达标优良率(%)≥50%,1分；50%以下，0分。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480" w:firstLineChars="20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教育局</w:t>
            </w:r>
          </w:p>
        </w:tc>
      </w:tr>
    </w:tbl>
    <w:p>
      <w:pPr>
        <w:rPr>
          <w:highlight w:val="none"/>
        </w:rPr>
        <w:sectPr>
          <w:footerReference r:id="rId6" w:type="default"/>
          <w:pgSz w:w="16830" w:h="11870"/>
          <w:pgMar w:top="1008" w:right="995" w:bottom="1974" w:left="1074" w:header="0" w:footer="1685" w:gutter="0"/>
          <w:pgNumType w:fmt="numberInDash"/>
          <w:cols w:space="720" w:num="1"/>
        </w:sectPr>
      </w:pPr>
    </w:p>
    <w:p>
      <w:pPr>
        <w:rPr>
          <w:highlight w:val="none"/>
        </w:rPr>
      </w:pPr>
    </w:p>
    <w:p>
      <w:pPr>
        <w:rPr>
          <w:highlight w:val="none"/>
        </w:rPr>
      </w:pPr>
    </w:p>
    <w:p>
      <w:pPr>
        <w:rPr>
          <w:highlight w:val="none"/>
        </w:rPr>
      </w:pPr>
    </w:p>
    <w:p>
      <w:pPr>
        <w:spacing w:line="30" w:lineRule="exact"/>
        <w:rPr>
          <w:highlight w:val="none"/>
        </w:rPr>
      </w:pPr>
    </w:p>
    <w:tbl>
      <w:tblPr>
        <w:tblStyle w:val="10"/>
        <w:tblW w:w="147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48"/>
        <w:gridCol w:w="5994"/>
        <w:gridCol w:w="1110"/>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4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9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4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1154" w:type="dxa"/>
            <w:vMerge w:val="restart"/>
            <w:tcBorders>
              <w:bottom w:val="nil"/>
            </w:tcBorders>
            <w:noWrap w:val="0"/>
            <w:vAlign w:val="top"/>
          </w:tcPr>
          <w:p>
            <w:pPr>
              <w:spacing w:line="240" w:lineRule="auto"/>
              <w:rPr>
                <w:rFonts w:ascii="Arial"/>
                <w:sz w:val="24"/>
                <w:szCs w:val="24"/>
                <w:highlight w:val="none"/>
              </w:rPr>
            </w:pPr>
          </w:p>
        </w:tc>
        <w:tc>
          <w:tcPr>
            <w:tcW w:w="139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5.提高经常参加体育锻炼人口比例。</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经常参加体育锻炼人口比例≥40%,3分；35-40%,2分；35%以下0分。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文体广电和旅游局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8" w:hRule="atLeast"/>
        </w:trPr>
        <w:tc>
          <w:tcPr>
            <w:tcW w:w="1154" w:type="dxa"/>
            <w:vMerge w:val="continue"/>
            <w:tcBorders>
              <w:top w:val="nil"/>
              <w:bottom w:val="nil"/>
            </w:tcBorders>
            <w:noWrap w:val="0"/>
            <w:vAlign w:val="top"/>
          </w:tcPr>
          <w:p>
            <w:pPr>
              <w:spacing w:line="240" w:lineRule="auto"/>
              <w:rPr>
                <w:rFonts w:ascii="Arial"/>
                <w:sz w:val="24"/>
                <w:szCs w:val="24"/>
                <w:highlight w:val="none"/>
              </w:rPr>
            </w:pP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(四)开展烟草控制，降低人群吸烟率。(11分)</w:t>
            </w: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1.辖区室内公共场所、工作场所和公共交通工具设置禁止吸烟警语和标识。</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辖区100%的室内公共场所、工作场所和公共交通工具全面禁烟，设置禁止吸烟警语和标识，2分；95-100%,1分；95%以下0分。抽查发现1个单位不合格，不得分。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政府办公室、全市各机关企事业单位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54" w:type="dxa"/>
            <w:vMerge w:val="continue"/>
            <w:tcBorders>
              <w:top w:val="nil"/>
              <w:bottom w:val="nil"/>
            </w:tcBorders>
            <w:noWrap w:val="0"/>
            <w:vAlign w:val="top"/>
          </w:tcPr>
          <w:p>
            <w:pPr>
              <w:spacing w:line="240" w:lineRule="auto"/>
              <w:rPr>
                <w:rFonts w:ascii="Arial"/>
                <w:sz w:val="24"/>
                <w:szCs w:val="24"/>
                <w:highlight w:val="none"/>
              </w:rPr>
            </w:pPr>
          </w:p>
        </w:tc>
        <w:tc>
          <w:tcPr>
            <w:tcW w:w="139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left"/>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2.禁止烟草广告。</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left"/>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辖区未发现烟草广告，1分；其余0分。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文体广电和旅游局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154" w:type="dxa"/>
            <w:vMerge w:val="continue"/>
            <w:tcBorders>
              <w:top w:val="nil"/>
              <w:bottom w:val="nil"/>
            </w:tcBorders>
            <w:noWrap w:val="0"/>
            <w:vAlign w:val="top"/>
          </w:tcPr>
          <w:p>
            <w:pPr>
              <w:spacing w:line="240" w:lineRule="auto"/>
              <w:rPr>
                <w:rFonts w:ascii="Arial"/>
                <w:sz w:val="24"/>
                <w:szCs w:val="24"/>
                <w:highlight w:val="none"/>
              </w:rPr>
            </w:pPr>
          </w:p>
        </w:tc>
        <w:tc>
          <w:tcPr>
            <w:tcW w:w="139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left"/>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3.建设无烟党政机关、无烟医疗卫生机构、无烟学校。</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(1)覆盖率均达100%,2分；100%以下0分。</w:t>
            </w:r>
          </w:p>
          <w:p>
            <w:pPr>
              <w:keepNext w:val="0"/>
              <w:keepLines w:val="0"/>
              <w:pageBreakBefore w:val="0"/>
              <w:widowControl w:val="0"/>
              <w:kinsoku/>
              <w:wordWrap/>
              <w:overflowPunct/>
              <w:topLinePunct w:val="0"/>
              <w:autoSpaceDE/>
              <w:autoSpaceDN/>
              <w:bidi w:val="0"/>
              <w:adjustRightInd/>
              <w:snapToGrid/>
              <w:spacing w:line="240" w:lineRule="auto"/>
              <w:ind w:left="51"/>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(2)抽查发现1个单位不合格，不得分。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组织部、机关工委、教育局、卫生健康局、各级医疗机构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2" w:hRule="atLeast"/>
        </w:trPr>
        <w:tc>
          <w:tcPr>
            <w:tcW w:w="1154" w:type="dxa"/>
            <w:vMerge w:val="continue"/>
            <w:tcBorders>
              <w:top w:val="nil"/>
              <w:bottom w:val="nil"/>
            </w:tcBorders>
            <w:noWrap w:val="0"/>
            <w:vAlign w:val="top"/>
          </w:tcPr>
          <w:p>
            <w:pPr>
              <w:spacing w:line="240" w:lineRule="auto"/>
              <w:rPr>
                <w:rFonts w:ascii="Arial"/>
                <w:sz w:val="24"/>
                <w:szCs w:val="24"/>
                <w:highlight w:val="none"/>
              </w:rPr>
            </w:pPr>
          </w:p>
        </w:tc>
        <w:tc>
          <w:tcPr>
            <w:tcW w:w="139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4.辖区各级医疗机构开展简短戒烟服务培训并提供简短戒烟服务。</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(1)开展简短戒烟服务培训的医疗机构覆盖≥80%,1分；80%以下0分。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(2)提供简短戒烟服务的医疗机构覆盖率100%,1分；100%以下0分。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4" w:hRule="atLeast"/>
        </w:trPr>
        <w:tc>
          <w:tcPr>
            <w:tcW w:w="1154" w:type="dxa"/>
            <w:vMerge w:val="continue"/>
            <w:tcBorders>
              <w:top w:val="nil"/>
            </w:tcBorders>
            <w:noWrap w:val="0"/>
            <w:vAlign w:val="top"/>
          </w:tcPr>
          <w:p>
            <w:pPr>
              <w:spacing w:line="240" w:lineRule="auto"/>
              <w:rPr>
                <w:rFonts w:ascii="Arial"/>
                <w:sz w:val="24"/>
                <w:szCs w:val="24"/>
                <w:highlight w:val="none"/>
              </w:rPr>
            </w:pPr>
          </w:p>
        </w:tc>
        <w:tc>
          <w:tcPr>
            <w:tcW w:w="139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5.降低辖区15岁及以上人群吸烟率。</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15岁及以上人群吸烟率低于20%,4分；20%-25%,2分；≥25%不得分。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复审：15岁及以上人群吸烟率逐年下降，5年降低10%以上，4分；5年降低5%-10%,2分，其余不得分。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卫生健康局、教育局、文体广电和旅游局</w:t>
            </w:r>
          </w:p>
        </w:tc>
      </w:tr>
    </w:tbl>
    <w:p>
      <w:pPr>
        <w:spacing w:line="100" w:lineRule="exact"/>
        <w:rPr>
          <w:highlight w:val="none"/>
        </w:rPr>
      </w:pPr>
    </w:p>
    <w:tbl>
      <w:tblPr>
        <w:tblStyle w:val="10"/>
        <w:tblW w:w="147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38"/>
        <w:gridCol w:w="6004"/>
        <w:gridCol w:w="1110"/>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3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600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4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8" w:hRule="atLeast"/>
        </w:trPr>
        <w:tc>
          <w:tcPr>
            <w:tcW w:w="1154"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default"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三、</w:t>
            </w:r>
            <w:r>
              <w:rPr>
                <w:rFonts w:hint="default" w:ascii="仿宋_GB2312" w:hAnsi="仿宋_GB2312" w:eastAsia="仿宋_GB2312" w:cs="仿宋_GB2312"/>
                <w:color w:val="auto"/>
                <w:spacing w:val="0"/>
                <w:sz w:val="24"/>
                <w:szCs w:val="24"/>
                <w:highlight w:val="none"/>
              </w:rPr>
              <w:t>“三减三健”专项活动</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(20分)</w:t>
            </w: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(一)开展专 题宣传</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(5分)</w:t>
            </w: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1.开展健康生活方式主题日(周)主题宣传(2分)。</w:t>
            </w:r>
          </w:p>
        </w:tc>
        <w:tc>
          <w:tcPr>
            <w:tcW w:w="600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(1)开展健康生活方式日宣传，1分；其余0分。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(2)开展全民营养周、中国减盐周、世界爱牙日、世界骨质疏松日等“三减 三健”相关内容的专项宣传，1分；其余0分。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8" w:hRule="atLeast"/>
        </w:trPr>
        <w:tc>
          <w:tcPr>
            <w:tcW w:w="1154"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9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2.利用传统媒体和新媒体 开展健康生活方式的日常宣传(3分)。</w:t>
            </w:r>
          </w:p>
        </w:tc>
        <w:tc>
          <w:tcPr>
            <w:tcW w:w="600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(1)充分利用传统媒体和新媒体等宣传方式，1分；其余0分。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(2)宣传内容覆盖“三减三健”各个方面，1分；其余0分。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(3)全年至少6次，1分；其余0分。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宣传部、文体广电和旅游局、融媒体中心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0" w:hRule="atLeast"/>
        </w:trPr>
        <w:tc>
          <w:tcPr>
            <w:tcW w:w="1154"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(二)开展专 项活动。(15分)</w:t>
            </w: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1.适宜技术与工具的推广 与评价(11分)</w:t>
            </w:r>
          </w:p>
        </w:tc>
        <w:tc>
          <w:tcPr>
            <w:tcW w:w="600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(1)推广使用健康“小三件”(限量盐勺、限量油壶和健康腰围尺),1分。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(2)食盐与食用油的摄入量低于本省平均水平3%及以上，各1分，共2分。复审：食盐与食用油的摄入量5年下降15%以上，各1分，共2分；10%-15%, 各0.5分，共1分；其余0分。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(3)辖区内儿童窝沟封闭服务覆盖率≥60%,3分；60%以下0分。 辖区12岁儿童患龋率&lt;25%,3分；其余0分。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(4)将骨密度检测纳入常规体检，逐年提高50岁及以上人群骨密度检测率，2分；其余0分。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11</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377" w:hRule="atLeast"/>
        </w:trPr>
        <w:tc>
          <w:tcPr>
            <w:tcW w:w="1154"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9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2.健康生活方式指导员能力建设。(2分)</w:t>
            </w:r>
          </w:p>
        </w:tc>
        <w:tc>
          <w:tcPr>
            <w:tcW w:w="600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(1)在健康社区的社区工作者中至少有1名健康生活方式指导员，1分；其余0分。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480" w:firstLineChars="20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各镇</w:t>
            </w:r>
            <w:r>
              <w:rPr>
                <w:rFonts w:hint="default" w:ascii="仿宋_GB2312" w:hAnsi="仿宋_GB2312" w:eastAsia="仿宋_GB2312" w:cs="仿宋_GB2312"/>
                <w:color w:val="auto"/>
                <w:spacing w:val="0"/>
                <w:sz w:val="24"/>
                <w:szCs w:val="24"/>
                <w:highlight w:val="none"/>
                <w:lang w:eastAsia="zh-CN"/>
              </w:rPr>
              <w:t>人民</w:t>
            </w:r>
            <w:r>
              <w:rPr>
                <w:rFonts w:hint="eastAsia" w:ascii="仿宋_GB2312" w:hAnsi="仿宋_GB2312" w:eastAsia="仿宋_GB2312" w:cs="仿宋_GB2312"/>
                <w:color w:val="auto"/>
                <w:spacing w:val="0"/>
                <w:sz w:val="24"/>
                <w:szCs w:val="24"/>
                <w:highlight w:val="none"/>
                <w:lang w:eastAsia="zh-CN"/>
              </w:rPr>
              <w:t>政府</w:t>
            </w:r>
          </w:p>
        </w:tc>
      </w:tr>
    </w:tbl>
    <w:p>
      <w:pPr>
        <w:spacing w:line="172" w:lineRule="exact"/>
        <w:rPr>
          <w:rFonts w:ascii="Arial"/>
          <w:sz w:val="15"/>
          <w:highlight w:val="none"/>
        </w:rPr>
      </w:pPr>
    </w:p>
    <w:p>
      <w:pPr>
        <w:rPr>
          <w:highlight w:val="none"/>
        </w:rPr>
      </w:pPr>
    </w:p>
    <w:p>
      <w:pPr>
        <w:spacing w:line="20" w:lineRule="exact"/>
        <w:rPr>
          <w:highlight w:val="none"/>
        </w:rPr>
      </w:pPr>
    </w:p>
    <w:tbl>
      <w:tblPr>
        <w:tblStyle w:val="10"/>
        <w:tblW w:w="147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4"/>
        <w:gridCol w:w="1409"/>
        <w:gridCol w:w="2738"/>
        <w:gridCol w:w="5994"/>
        <w:gridCol w:w="1125"/>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4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40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3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9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2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4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atLeast"/>
        </w:trPr>
        <w:tc>
          <w:tcPr>
            <w:tcW w:w="1144"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0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复审：每年至少招募并培训5名健康生活方式指导员，1分，其余0分。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(2)每年举办或者组织参加“三减三健”相关培训至少一次，1分；其余0分。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1144"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0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3.健康生活方式指导员的五进活动。(2分)</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(1)覆盖家庭、社区、学校、单位、医院等五类场所，1分。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(2)每年至少开展2项特色现场活动，1分；其余0分。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600" w:firstLineChars="25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各镇</w:t>
            </w:r>
            <w:r>
              <w:rPr>
                <w:rFonts w:hint="default" w:ascii="仿宋_GB2312" w:hAnsi="仿宋_GB2312" w:eastAsia="仿宋_GB2312" w:cs="仿宋_GB2312"/>
                <w:color w:val="auto"/>
                <w:spacing w:val="0"/>
                <w:sz w:val="24"/>
                <w:szCs w:val="24"/>
                <w:highlight w:val="none"/>
                <w:lang w:eastAsia="zh-CN"/>
              </w:rPr>
              <w:t>人民</w:t>
            </w:r>
            <w:r>
              <w:rPr>
                <w:rFonts w:hint="eastAsia" w:ascii="仿宋_GB2312" w:hAnsi="仿宋_GB2312" w:eastAsia="仿宋_GB2312" w:cs="仿宋_GB2312"/>
                <w:color w:val="auto"/>
                <w:spacing w:val="0"/>
                <w:sz w:val="24"/>
                <w:szCs w:val="24"/>
                <w:highlight w:val="none"/>
                <w:lang w:eastAsia="zh-CN"/>
              </w:rPr>
              <w:t>政府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1144"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四、体系整合(30分)</w:t>
            </w:r>
          </w:p>
        </w:tc>
        <w:tc>
          <w:tcPr>
            <w:tcW w:w="140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(一)建立防治结合、分工协作、优势互补、上下联动的慢性病综合防治体系。(15分)</w:t>
            </w: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1.建立完善慢性病防控服 务体系和分工明确、上下联动的工作机制。</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(1)辖区卫生健康行政部门制定实施慢性病防控服务体系建设的方案，4分；其余0分。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(2)明确专业公共卫生机构、医院和基层医疗卫生机构职责，4分；其余0分。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8</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1" w:hRule="atLeast"/>
        </w:trPr>
        <w:tc>
          <w:tcPr>
            <w:tcW w:w="1144"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0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2.建立完善信息共享、互 联互通等的工作机制，推 进慢性病防、治、管的整合。</w:t>
            </w:r>
          </w:p>
        </w:tc>
        <w:tc>
          <w:tcPr>
            <w:tcW w:w="599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(1)卫生健康行政部门负责督导慢性病防控服务体系的有效运行，2分；其余0分。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(2)建立完善慢性病防控服务体系的运行、质控、绩效评价机制，3分；其余0分。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(3)疾控机构、医院对基层医疗卫生机构进行的技术指导和对口支援，建立有效的合作关系，2分；其余0分。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7</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bl>
    <w:p>
      <w:pPr>
        <w:rPr>
          <w:highlight w:val="none"/>
        </w:rPr>
        <w:sectPr>
          <w:footerReference r:id="rId7" w:type="default"/>
          <w:pgSz w:w="16830" w:h="11870"/>
          <w:pgMar w:top="1008" w:right="1015" w:bottom="2014" w:left="1034" w:header="0" w:footer="1725" w:gutter="0"/>
          <w:pgNumType w:fmt="numberInDash"/>
          <w:cols w:space="720" w:num="1"/>
        </w:sectPr>
      </w:pPr>
    </w:p>
    <w:p>
      <w:pPr>
        <w:spacing w:line="120" w:lineRule="exact"/>
        <w:rPr>
          <w:highlight w:val="none"/>
        </w:rPr>
      </w:pPr>
    </w:p>
    <w:tbl>
      <w:tblPr>
        <w:tblStyle w:val="10"/>
        <w:tblW w:w="146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409"/>
        <w:gridCol w:w="2718"/>
        <w:gridCol w:w="5964"/>
        <w:gridCol w:w="1125"/>
        <w:gridCol w:w="23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40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1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6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2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2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1154" w:type="dxa"/>
            <w:vMerge w:val="restart"/>
            <w:tcBorders>
              <w:bottom w:val="nil"/>
            </w:tcBorders>
            <w:noWrap w:val="0"/>
            <w:vAlign w:val="top"/>
          </w:tcPr>
          <w:p>
            <w:pPr>
              <w:spacing w:line="240" w:lineRule="auto"/>
              <w:rPr>
                <w:rFonts w:hint="eastAsia" w:ascii="仿宋_GB2312" w:hAnsi="仿宋_GB2312" w:eastAsia="仿宋_GB2312" w:cs="仿宋_GB2312"/>
                <w:sz w:val="24"/>
                <w:szCs w:val="24"/>
                <w:highlight w:val="none"/>
              </w:rPr>
            </w:pPr>
          </w:p>
        </w:tc>
        <w:tc>
          <w:tcPr>
            <w:tcW w:w="140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(二)加强慢性病防控队伍建设。(15分)</w:t>
            </w: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1.加强疾病预防控制机构 慢性病防控专业技术人员 能力建设。</w:t>
            </w:r>
          </w:p>
        </w:tc>
        <w:tc>
          <w:tcPr>
            <w:tcW w:w="596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疾病预防控制机构每年组织本单位慢性病防控专业技术人员参加专业培训不少于2次，5分；1次，2分；未接受培训不得分。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3" w:hRule="atLeast"/>
        </w:trPr>
        <w:tc>
          <w:tcPr>
            <w:tcW w:w="1154" w:type="dxa"/>
            <w:vMerge w:val="continue"/>
            <w:tcBorders>
              <w:top w:val="nil"/>
              <w:bottom w:val="nil"/>
            </w:tcBorders>
            <w:noWrap w:val="0"/>
            <w:vAlign w:val="top"/>
          </w:tcPr>
          <w:p>
            <w:pPr>
              <w:spacing w:line="240" w:lineRule="auto"/>
              <w:rPr>
                <w:rFonts w:hint="eastAsia" w:ascii="仿宋_GB2312" w:hAnsi="仿宋_GB2312" w:eastAsia="仿宋_GB2312" w:cs="仿宋_GB2312"/>
                <w:sz w:val="24"/>
                <w:szCs w:val="24"/>
                <w:highlight w:val="none"/>
              </w:rPr>
            </w:pPr>
          </w:p>
        </w:tc>
        <w:tc>
          <w:tcPr>
            <w:tcW w:w="140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2.提升二级以上医院公共 卫生专业人员能力。</w:t>
            </w:r>
          </w:p>
        </w:tc>
        <w:tc>
          <w:tcPr>
            <w:tcW w:w="596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(1)二级及以上医院每年组织本单位承担疾病预防控制工作的专业技术人员接受专业培训不少于2次，2分；1次，1分；未接受培训不得分。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(2)二级及以上医院每年组织对辖区基层医疗机构的慢病专业培训不少于2次，2分；1次，1分；未接受培训不得分。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卫生健康局、人民医院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54" w:type="dxa"/>
            <w:vMerge w:val="continue"/>
            <w:tcBorders>
              <w:top w:val="nil"/>
              <w:bottom w:val="single" w:color="auto" w:sz="4" w:space="0"/>
            </w:tcBorders>
            <w:noWrap w:val="0"/>
            <w:vAlign w:val="top"/>
          </w:tcPr>
          <w:p>
            <w:pPr>
              <w:spacing w:line="240" w:lineRule="auto"/>
              <w:rPr>
                <w:rFonts w:hint="eastAsia" w:ascii="仿宋_GB2312" w:hAnsi="仿宋_GB2312" w:eastAsia="仿宋_GB2312" w:cs="仿宋_GB2312"/>
                <w:sz w:val="24"/>
                <w:szCs w:val="24"/>
                <w:highlight w:val="none"/>
              </w:rPr>
            </w:pPr>
          </w:p>
        </w:tc>
        <w:tc>
          <w:tcPr>
            <w:tcW w:w="1409" w:type="dxa"/>
            <w:vMerge w:val="continue"/>
            <w:tcBorders>
              <w:top w:val="nil"/>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3.加强基层医疗卫生机构公共卫生服务能力建设，承担所在区域慢性病防控工作。</w:t>
            </w:r>
          </w:p>
        </w:tc>
        <w:tc>
          <w:tcPr>
            <w:tcW w:w="596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(1)基层医疗卫生机构每年接受上级疾控机构慢性病防控专业技术培训不少于2次，2分；1次，1分；未接受培训不得分。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(2)基层医疗卫生机构每年接受上级医疗机构慢性病防治专业技术培训不少于2次，2分；1次，1分；未接受培训不得分。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(3)基层医疗卫生机构每年组织对村卫生室或社区卫生服务站医护人员的培训不少于2次，2分；1次，1分；未接受培训不得分。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6</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卫生健康局、疾病预防控制中心、中医院、阳光社区卫生服务中心、各乡镇卫生院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8" w:hRule="atLeast"/>
        </w:trPr>
        <w:tc>
          <w:tcPr>
            <w:tcW w:w="1154" w:type="dxa"/>
            <w:tcBorders>
              <w:top w:val="single" w:color="auto" w:sz="4" w:space="0"/>
              <w:left w:val="single" w:color="auto" w:sz="4" w:space="0"/>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五、健康教育与健康促进</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auto"/>
                <w:spacing w:val="0"/>
                <w:sz w:val="24"/>
                <w:szCs w:val="24"/>
                <w:highlight w:val="none"/>
              </w:rPr>
              <w:t>(20分</w:t>
            </w:r>
            <w:r>
              <w:rPr>
                <w:rFonts w:hint="eastAsia" w:ascii="仿宋_GB2312" w:hAnsi="仿宋_GB2312" w:eastAsia="仿宋_GB2312" w:cs="仿宋_GB2312"/>
                <w:spacing w:val="10"/>
                <w:sz w:val="24"/>
                <w:szCs w:val="24"/>
                <w:highlight w:val="none"/>
              </w:rPr>
              <w:t>)</w:t>
            </w:r>
          </w:p>
        </w:tc>
        <w:tc>
          <w:tcPr>
            <w:tcW w:w="1409" w:type="dxa"/>
            <w:tcBorders>
              <w:top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(一)通过多种渠道积极开展慢性病防治全民健康教育。</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(6分)</w:t>
            </w:r>
          </w:p>
        </w:tc>
        <w:tc>
          <w:tcPr>
            <w:tcW w:w="2718"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1.广泛开展健康教育，定期传播慢性病防治和健康素养知识和技能。</w:t>
            </w:r>
          </w:p>
        </w:tc>
        <w:tc>
          <w:tcPr>
            <w:tcW w:w="596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(1)当地社会主流媒体和互联网等新媒体广泛开展慢性病防治和健康教育，每月不少于2次，0.5分；其余0分。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(2)建立医疗机构和医务人员开展健康教育和健康促进的绩效考核机制，0.5分；其余0分。</w:t>
            </w:r>
          </w:p>
        </w:tc>
        <w:tc>
          <w:tcPr>
            <w:tcW w:w="11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w:t>
            </w:r>
          </w:p>
        </w:tc>
        <w:tc>
          <w:tcPr>
            <w:tcW w:w="232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文体广电和旅游局、卫生健康局、宣传部、财政局</w:t>
            </w:r>
          </w:p>
        </w:tc>
      </w:tr>
    </w:tbl>
    <w:p>
      <w:pPr>
        <w:rPr>
          <w:highlight w:val="none"/>
        </w:rPr>
      </w:pPr>
    </w:p>
    <w:p>
      <w:pPr>
        <w:spacing w:line="50" w:lineRule="exact"/>
        <w:rPr>
          <w:highlight w:val="none"/>
        </w:rPr>
      </w:pPr>
    </w:p>
    <w:tbl>
      <w:tblPr>
        <w:tblStyle w:val="10"/>
        <w:tblW w:w="1471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48"/>
        <w:gridCol w:w="5949"/>
        <w:gridCol w:w="1110"/>
        <w:gridCol w:w="2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4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94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11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5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5" w:hRule="atLeast"/>
        </w:trPr>
        <w:tc>
          <w:tcPr>
            <w:tcW w:w="1154" w:type="dxa"/>
            <w:vMerge w:val="restart"/>
            <w:noWrap w:val="0"/>
            <w:vAlign w:val="top"/>
          </w:tcPr>
          <w:p>
            <w:pPr>
              <w:spacing w:line="240" w:lineRule="auto"/>
              <w:rPr>
                <w:rFonts w:ascii="Arial"/>
                <w:sz w:val="24"/>
                <w:szCs w:val="24"/>
                <w:highlight w:val="none"/>
              </w:rPr>
            </w:pPr>
          </w:p>
        </w:tc>
        <w:tc>
          <w:tcPr>
            <w:tcW w:w="1399"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2.开展形式多样的健康教育与健康促进活动，扩大传播慢性病防治和慢病健康素养知识和技能的范围。</w:t>
            </w:r>
          </w:p>
        </w:tc>
        <w:tc>
          <w:tcPr>
            <w:tcW w:w="594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辖区每年至少开展6次围绕全国肿瘤防治宣传周、世界无烟日、全国高血压日、世界卒中日、联合国糖尿病日、世界慢阻肺日等慢性病防治主题宣传日的形式多样的健康教育与健康促进宣传活动，每次0.5分，共3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宣传部、卫生健康局、疾病预防控制中心、各级医疗机构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54" w:type="dxa"/>
            <w:vMerge w:val="continue"/>
            <w:noWrap w:val="0"/>
            <w:vAlign w:val="top"/>
          </w:tcPr>
          <w:p>
            <w:pPr>
              <w:spacing w:line="240" w:lineRule="auto"/>
              <w:rPr>
                <w:rFonts w:ascii="Arial"/>
                <w:sz w:val="24"/>
                <w:szCs w:val="24"/>
                <w:highlight w:val="none"/>
              </w:rPr>
            </w:pPr>
          </w:p>
        </w:tc>
        <w:tc>
          <w:tcPr>
            <w:tcW w:w="1399"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3.开展幼儿园、中小学校健康行为方式教育。</w:t>
            </w:r>
          </w:p>
        </w:tc>
        <w:tc>
          <w:tcPr>
            <w:tcW w:w="594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(1)幼儿园、中小学校开设健康教育课覆盖率达100%,0.5分；其余0分。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(2)健康教育课包括营养均衡、口腔保健、健康体重、视力保护、心理健康、伤害预防(溺水、烧烫伤)等内容，每学期以班级为单位，课程≥6学时，0.5分；低于6学时0分。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(3)寄宿制中小学校或600名学生以上的非寄宿制中小学校配备专职卫生专业技术人员、600名学生以下的非寄宿制中小学校配备专兼职保健教师或卫生专业技术人员的比例达到70%,0.5分；其余0分。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(4)配备专兼职心理健康工作人员的中小学校比例达到80%,0.5分；其余0分。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840" w:firstLineChars="35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教育局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1154" w:type="dxa"/>
            <w:vMerge w:val="continue"/>
            <w:noWrap w:val="0"/>
            <w:vAlign w:val="top"/>
          </w:tcPr>
          <w:p>
            <w:pPr>
              <w:spacing w:line="240" w:lineRule="auto"/>
              <w:rPr>
                <w:rFonts w:ascii="Arial"/>
                <w:sz w:val="24"/>
                <w:szCs w:val="24"/>
                <w:highlight w:val="none"/>
              </w:rPr>
            </w:pP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(二)提高居民重点慢性病核心知识知晓率和居民健康素养水平。(9分)</w:t>
            </w: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1.提高居民重点慢性病核心知识知晓率。</w:t>
            </w:r>
          </w:p>
        </w:tc>
        <w:tc>
          <w:tcPr>
            <w:tcW w:w="594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居民重点慢性病核心知识知晓率≥70%,5分；60-70%,2分；60%以下0分。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1154" w:type="dxa"/>
            <w:vMerge w:val="continue"/>
            <w:noWrap w:val="0"/>
            <w:vAlign w:val="top"/>
          </w:tcPr>
          <w:p>
            <w:pPr>
              <w:spacing w:line="240" w:lineRule="auto"/>
              <w:rPr>
                <w:rFonts w:ascii="Arial"/>
                <w:sz w:val="24"/>
                <w:szCs w:val="24"/>
                <w:highlight w:val="none"/>
              </w:rPr>
            </w:pPr>
          </w:p>
        </w:tc>
        <w:tc>
          <w:tcPr>
            <w:tcW w:w="1399" w:type="dxa"/>
            <w:vMerge w:val="continue"/>
            <w:tcBorders>
              <w:top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2.提高居民健康素养水平。</w:t>
            </w:r>
          </w:p>
        </w:tc>
        <w:tc>
          <w:tcPr>
            <w:tcW w:w="594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居民健康素养水平≥25%,4分；20-25%,2分；20%以下不得分。</w:t>
            </w:r>
          </w:p>
        </w:tc>
        <w:tc>
          <w:tcPr>
            <w:tcW w:w="111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bl>
    <w:p>
      <w:pPr>
        <w:rPr>
          <w:highlight w:val="none"/>
        </w:rPr>
        <w:sectPr>
          <w:footerReference r:id="rId8" w:type="default"/>
          <w:pgSz w:w="16830" w:h="11870"/>
          <w:pgMar w:top="1008" w:right="1003" w:bottom="1621" w:left="1071" w:header="0" w:footer="1417" w:gutter="0"/>
          <w:pgNumType w:fmt="numberInDash"/>
          <w:cols w:space="720" w:num="1"/>
        </w:sectPr>
      </w:pPr>
    </w:p>
    <w:p>
      <w:pPr>
        <w:spacing w:line="130" w:lineRule="exact"/>
        <w:rPr>
          <w:highlight w:val="none"/>
        </w:rPr>
      </w:pPr>
    </w:p>
    <w:p>
      <w:pPr>
        <w:spacing w:line="130" w:lineRule="exact"/>
        <w:rPr>
          <w:highlight w:val="none"/>
        </w:rPr>
      </w:pPr>
    </w:p>
    <w:p>
      <w:pPr>
        <w:spacing w:line="130" w:lineRule="exact"/>
        <w:rPr>
          <w:highlight w:val="none"/>
        </w:rPr>
      </w:pPr>
    </w:p>
    <w:tbl>
      <w:tblPr>
        <w:tblStyle w:val="10"/>
        <w:tblW w:w="147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28"/>
        <w:gridCol w:w="6054"/>
        <w:gridCol w:w="1095"/>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2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60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09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4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1154" w:type="dxa"/>
            <w:vMerge w:val="restart"/>
            <w:tcBorders>
              <w:bottom w:val="nil"/>
            </w:tcBorders>
            <w:noWrap w:val="0"/>
            <w:vAlign w:val="top"/>
          </w:tcPr>
          <w:p>
            <w:pPr>
              <w:spacing w:line="240" w:lineRule="auto"/>
              <w:rPr>
                <w:rFonts w:hint="eastAsia" w:ascii="仿宋_GB2312" w:hAnsi="仿宋_GB2312" w:eastAsia="仿宋_GB2312" w:cs="仿宋_GB2312"/>
                <w:sz w:val="24"/>
                <w:szCs w:val="24"/>
                <w:highlight w:val="none"/>
              </w:rPr>
            </w:pPr>
          </w:p>
        </w:tc>
        <w:tc>
          <w:tcPr>
            <w:tcW w:w="1399"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(三)发挥社会团体和群众组织在慢性病防控中的积极作用。(5分)</w:t>
            </w: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1.辖区开展群众性健身运动。</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(1)有5个及以上的群众健身团体，0.5分；其余0分。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(2)配有体育指导员和志愿者，0.5分；其余0分。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各镇</w:t>
            </w:r>
            <w:r>
              <w:rPr>
                <w:rFonts w:hint="default" w:ascii="仿宋_GB2312" w:hAnsi="仿宋_GB2312" w:eastAsia="仿宋_GB2312" w:cs="仿宋_GB2312"/>
                <w:color w:val="auto"/>
                <w:spacing w:val="0"/>
                <w:sz w:val="24"/>
                <w:szCs w:val="24"/>
                <w:highlight w:val="none"/>
                <w:lang w:eastAsia="zh-CN"/>
              </w:rPr>
              <w:t>人民</w:t>
            </w:r>
            <w:r>
              <w:rPr>
                <w:rFonts w:hint="eastAsia" w:ascii="仿宋_GB2312" w:hAnsi="仿宋_GB2312" w:eastAsia="仿宋_GB2312" w:cs="仿宋_GB2312"/>
                <w:color w:val="auto"/>
                <w:spacing w:val="0"/>
                <w:sz w:val="24"/>
                <w:szCs w:val="24"/>
                <w:highlight w:val="none"/>
                <w:lang w:eastAsia="zh-CN"/>
              </w:rPr>
              <w:t>政府、文体广电和旅游局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8" w:hRule="atLeast"/>
        </w:trPr>
        <w:tc>
          <w:tcPr>
            <w:tcW w:w="1154" w:type="dxa"/>
            <w:vMerge w:val="continue"/>
            <w:tcBorders>
              <w:top w:val="nil"/>
              <w:bottom w:val="nil"/>
            </w:tcBorders>
            <w:noWrap w:val="0"/>
            <w:vAlign w:val="top"/>
          </w:tcPr>
          <w:p>
            <w:pPr>
              <w:spacing w:line="240" w:lineRule="auto"/>
              <w:rPr>
                <w:rFonts w:hint="eastAsia" w:ascii="仿宋_GB2312" w:hAnsi="仿宋_GB2312" w:eastAsia="仿宋_GB2312" w:cs="仿宋_GB2312"/>
                <w:sz w:val="24"/>
                <w:szCs w:val="24"/>
                <w:highlight w:val="none"/>
              </w:rPr>
            </w:pPr>
          </w:p>
        </w:tc>
        <w:tc>
          <w:tcPr>
            <w:tcW w:w="1399" w:type="dxa"/>
            <w:vMerge w:val="continue"/>
            <w:tcBorders>
              <w:top w:val="nil"/>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2.每年至少开展1次由社会团体组织和参与的集体性健身活动。</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定期开展由社会团体组织、企事业单位承担参与并积极支持的健身活动，每年≥1次，1分；其余0分。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240" w:firstLineChars="100"/>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文体广电和旅游局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8" w:hRule="atLeast"/>
        </w:trPr>
        <w:tc>
          <w:tcPr>
            <w:tcW w:w="1154" w:type="dxa"/>
            <w:vMerge w:val="continue"/>
            <w:tcBorders>
              <w:top w:val="nil"/>
              <w:bottom w:val="single" w:color="auto" w:sz="4" w:space="0"/>
            </w:tcBorders>
            <w:noWrap w:val="0"/>
            <w:vAlign w:val="top"/>
          </w:tcPr>
          <w:p>
            <w:pPr>
              <w:spacing w:line="240" w:lineRule="auto"/>
              <w:rPr>
                <w:rFonts w:hint="eastAsia" w:ascii="仿宋_GB2312" w:hAnsi="仿宋_GB2312" w:eastAsia="仿宋_GB2312" w:cs="仿宋_GB2312"/>
                <w:sz w:val="24"/>
                <w:szCs w:val="24"/>
                <w:highlight w:val="none"/>
              </w:rPr>
            </w:pPr>
          </w:p>
        </w:tc>
        <w:tc>
          <w:tcPr>
            <w:tcW w:w="1399" w:type="dxa"/>
            <w:vMerge w:val="continue"/>
            <w:tcBorders>
              <w:top w:val="nil"/>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2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3.鼓励社区慢性病患者积极参与社区自我健康管理活动。</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有自我健康管理小组并规范开展的社区覆盖率≥50%,3分；40-50%,2分；40%以下0分。不符合技术规范要求或每年参加人数不变者分数减半。</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default" w:ascii="仿宋_GB2312" w:hAnsi="仿宋_GB2312" w:eastAsia="仿宋_GB2312" w:cs="仿宋_GB2312"/>
                <w:color w:val="auto"/>
                <w:spacing w:val="0"/>
                <w:sz w:val="24"/>
                <w:szCs w:val="24"/>
                <w:highlight w:val="none"/>
                <w:lang w:eastAsia="zh-CN"/>
              </w:rPr>
            </w:pPr>
            <w:r>
              <w:rPr>
                <w:rFonts w:hint="default" w:ascii="仿宋_GB2312" w:hAnsi="仿宋_GB2312" w:eastAsia="仿宋_GB2312" w:cs="仿宋_GB2312"/>
                <w:color w:val="auto"/>
                <w:spacing w:val="0"/>
                <w:sz w:val="24"/>
                <w:szCs w:val="24"/>
                <w:highlight w:val="none"/>
                <w:lang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360" w:firstLineChars="15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各镇</w:t>
            </w:r>
            <w:r>
              <w:rPr>
                <w:rFonts w:hint="default" w:ascii="仿宋_GB2312" w:hAnsi="仿宋_GB2312" w:eastAsia="仿宋_GB2312" w:cs="仿宋_GB2312"/>
                <w:color w:val="auto"/>
                <w:spacing w:val="0"/>
                <w:sz w:val="24"/>
                <w:szCs w:val="24"/>
                <w:highlight w:val="none"/>
                <w:lang w:eastAsia="zh-CN"/>
              </w:rPr>
              <w:t>人民</w:t>
            </w:r>
            <w:r>
              <w:rPr>
                <w:rFonts w:hint="eastAsia" w:ascii="仿宋_GB2312" w:hAnsi="仿宋_GB2312" w:eastAsia="仿宋_GB2312" w:cs="仿宋_GB2312"/>
                <w:color w:val="auto"/>
                <w:spacing w:val="0"/>
                <w:sz w:val="24"/>
                <w:szCs w:val="24"/>
                <w:highlight w:val="none"/>
                <w:lang w:eastAsia="zh-CN"/>
              </w:rPr>
              <w:t>政府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9" w:hRule="atLeast"/>
        </w:trPr>
        <w:tc>
          <w:tcPr>
            <w:tcW w:w="1154" w:type="dxa"/>
            <w:tcBorders>
              <w:top w:val="single" w:color="auto" w:sz="4" w:space="0"/>
              <w:left w:val="single" w:color="auto" w:sz="4" w:space="0"/>
              <w:bottom w:val="single" w:color="auto" w:sz="4" w:space="0"/>
            </w:tcBorders>
            <w:noWrap w:val="0"/>
            <w:vAlign w:val="top"/>
          </w:tcPr>
          <w:p>
            <w:pPr>
              <w:spacing w:line="240" w:lineRule="auto"/>
              <w:rPr>
                <w:rFonts w:hint="eastAsia" w:ascii="仿宋_GB2312" w:hAnsi="仿宋_GB2312" w:eastAsia="仿宋_GB2312" w:cs="仿宋_GB2312"/>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auto"/>
                <w:spacing w:val="0"/>
                <w:sz w:val="24"/>
                <w:szCs w:val="24"/>
                <w:highlight w:val="none"/>
              </w:rPr>
              <w:t>六、慢性病全程管理(70分)</w:t>
            </w:r>
          </w:p>
        </w:tc>
        <w:tc>
          <w:tcPr>
            <w:tcW w:w="1399" w:type="dxa"/>
            <w:tcBorders>
              <w:top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(一)规范健康体检，开展高危人群筛查与干预，加强癌症、心脑血管疾病等重大慢性病的早期发现与管理。(17分)</w:t>
            </w:r>
          </w:p>
        </w:tc>
        <w:tc>
          <w:tcPr>
            <w:tcW w:w="2728"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1.开展学生、老年人等重点人群和职工定期健康体检和健康指导。</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(1)学生健康体检率≥90%,2分；80-90%,1分；80%以下0分。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复审：学校对学生健康体检结果进行分析和反馈覆盖率≥50%,2分。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(2)65岁及以上老年人健康体检率≥90%,2分；80-90%,1分；80%以下0分。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(3)每2年1次体检并开展健康指导的机关事业单位和员工数超过50人的企业的覆盖率≥50%,3分；40-50%,2分；40%以下0分。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7</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教育局、民政局、组织部、人力资源和社会保障局、卫生健康局、疾病预防控制中心、各级医疗机构</w:t>
            </w:r>
          </w:p>
        </w:tc>
      </w:tr>
    </w:tbl>
    <w:p>
      <w:pPr>
        <w:rPr>
          <w:highlight w:val="none"/>
        </w:rPr>
        <w:sectPr>
          <w:footerReference r:id="rId9" w:type="default"/>
          <w:pgSz w:w="16830" w:h="11870"/>
          <w:pgMar w:top="1008" w:right="1004" w:bottom="1963" w:left="1074" w:header="0" w:footer="1675" w:gutter="0"/>
          <w:pgNumType w:fmt="numberInDash"/>
          <w:cols w:space="720" w:num="1"/>
        </w:sectPr>
      </w:pPr>
    </w:p>
    <w:p>
      <w:pPr>
        <w:rPr>
          <w:highlight w:val="none"/>
        </w:rPr>
      </w:pPr>
    </w:p>
    <w:p>
      <w:pPr>
        <w:spacing w:line="30" w:lineRule="exact"/>
        <w:rPr>
          <w:highlight w:val="none"/>
        </w:rPr>
      </w:pPr>
    </w:p>
    <w:tbl>
      <w:tblPr>
        <w:tblStyle w:val="10"/>
        <w:tblW w:w="1480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48"/>
        <w:gridCol w:w="6054"/>
        <w:gridCol w:w="1095"/>
        <w:gridCol w:w="2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tcBorders>
              <w:bottom w:val="single" w:color="auto" w:sz="4" w:space="0"/>
            </w:tcBorders>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399" w:type="dxa"/>
            <w:tcBorders>
              <w:bottom w:val="single" w:color="auto" w:sz="4" w:space="0"/>
            </w:tcBorders>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4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60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09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5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8" w:hRule="atLeast"/>
        </w:trPr>
        <w:tc>
          <w:tcPr>
            <w:tcW w:w="1154" w:type="dxa"/>
            <w:vMerge w:val="restart"/>
            <w:tcBorders>
              <w:top w:val="single" w:color="auto" w:sz="4" w:space="0"/>
              <w:left w:val="single" w:color="auto" w:sz="4" w:space="0"/>
              <w:bottom w:val="nil"/>
            </w:tcBorders>
            <w:noWrap w:val="0"/>
            <w:vAlign w:val="top"/>
          </w:tcPr>
          <w:p>
            <w:pPr>
              <w:spacing w:line="240" w:lineRule="auto"/>
              <w:rPr>
                <w:rFonts w:hint="eastAsia" w:ascii="仿宋_GB2312" w:hAnsi="仿宋_GB2312" w:eastAsia="仿宋_GB2312" w:cs="仿宋_GB2312"/>
                <w:sz w:val="24"/>
                <w:szCs w:val="24"/>
                <w:highlight w:val="none"/>
              </w:rPr>
            </w:pPr>
          </w:p>
        </w:tc>
        <w:tc>
          <w:tcPr>
            <w:tcW w:w="1399" w:type="dxa"/>
            <w:tcBorders>
              <w:top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2.应用推广成熟的适宜技术，早期发现诊治患者及时纳入基本公共卫生服务管理。</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(1)医疗机构首诊测血压率达到100%,2分；其余0分。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(2)开展心脑血管疾病、重点癌症、糖尿病、慢性阻塞性肺病等重大慢性病的筛查和早期诊断，每1项1分，满分4分。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(3)具备血糖、血脂、简易肺功能测定和大便隐血检测等4种技术并提供服务的社区卫生服务中心和乡镇卫生院的覆盖率≥70%,2分；50-70%,1分；50%以下0分。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(4)提高加强个人健康档案与健康体检信息的利用，发现高危人群登记率100%,1分，其余0分；高危人群纳入健康管理率≥30%,1分，其余0分。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卫生健康局、工业信息科技局、疾病预防控制中心、各级医疗机构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8" w:hRule="atLeast"/>
        </w:trPr>
        <w:tc>
          <w:tcPr>
            <w:tcW w:w="1154" w:type="dxa"/>
            <w:vMerge w:val="continue"/>
            <w:tcBorders>
              <w:top w:val="nil"/>
              <w:left w:val="single" w:color="auto" w:sz="4" w:space="0"/>
              <w:bottom w:val="single" w:color="auto" w:sz="4" w:space="0"/>
            </w:tcBorders>
            <w:noWrap w:val="0"/>
            <w:vAlign w:val="top"/>
          </w:tcPr>
          <w:p>
            <w:pPr>
              <w:spacing w:line="240" w:lineRule="auto"/>
              <w:rPr>
                <w:rFonts w:hint="eastAsia" w:ascii="仿宋_GB2312" w:hAnsi="仿宋_GB2312" w:eastAsia="仿宋_GB2312" w:cs="仿宋_GB2312"/>
                <w:sz w:val="24"/>
                <w:szCs w:val="24"/>
                <w:highlight w:val="none"/>
              </w:rPr>
            </w:pPr>
          </w:p>
        </w:tc>
        <w:tc>
          <w:tcPr>
            <w:tcW w:w="1399" w:type="dxa"/>
            <w:vMerge w:val="restart"/>
            <w:tcBorders>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(二)建立分  级诊疗制度，推进家庭医生签约服务，开展高血压、糖尿病等重点慢性病规范化管理。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(20分)</w:t>
            </w:r>
          </w:p>
        </w:tc>
        <w:tc>
          <w:tcPr>
            <w:tcW w:w="2748"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1.开展基层首诊、双向转 诊、急慢分治、上下联动的慢性病分级诊疗服务。</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(1)建立分级诊疗制度，1分；其余0分。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(2)落实并开展高血压与糖尿病基层首诊、双向转诊、急慢分治、上下联动的分级诊疗服务，基层医疗机构门诊量占比≥50%,2分；其余0分。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(3)依托信息平台实现分级诊疗，2分；其余0分。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2" w:hRule="atLeast"/>
        </w:trPr>
        <w:tc>
          <w:tcPr>
            <w:tcW w:w="1154" w:type="dxa"/>
            <w:vMerge w:val="continue"/>
            <w:tcBorders>
              <w:top w:val="single" w:color="auto" w:sz="4" w:space="0"/>
              <w:left w:val="single" w:color="auto" w:sz="4" w:space="0"/>
              <w:bottom w:val="single" w:color="auto" w:sz="4" w:space="0"/>
            </w:tcBorders>
            <w:noWrap w:val="0"/>
            <w:vAlign w:val="top"/>
          </w:tcPr>
          <w:p>
            <w:pPr>
              <w:spacing w:line="240" w:lineRule="auto"/>
              <w:rPr>
                <w:rFonts w:hint="eastAsia" w:ascii="仿宋_GB2312" w:hAnsi="仿宋_GB2312" w:eastAsia="仿宋_GB2312" w:cs="仿宋_GB2312"/>
                <w:sz w:val="24"/>
                <w:szCs w:val="24"/>
                <w:highlight w:val="none"/>
              </w:rPr>
            </w:pPr>
          </w:p>
        </w:tc>
        <w:tc>
          <w:tcPr>
            <w:tcW w:w="1399" w:type="dxa"/>
            <w:vMerge w:val="continue"/>
            <w:tcBorders>
              <w:top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2.推进家庭医生签约服务，签约团队负责提供约定的基本医疗、公共卫生和健康管理服务。</w:t>
            </w:r>
          </w:p>
        </w:tc>
        <w:tc>
          <w:tcPr>
            <w:tcW w:w="605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家庭医生签约服务覆盖率高于本省平均水平30%及以上，3分；25-30%,1分</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25%以下0分。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卫生健康局、各级医疗机构</w:t>
            </w:r>
          </w:p>
        </w:tc>
      </w:tr>
    </w:tbl>
    <w:p>
      <w:pPr>
        <w:spacing w:line="110" w:lineRule="exact"/>
        <w:rPr>
          <w:highlight w:val="none"/>
        </w:rPr>
      </w:pPr>
    </w:p>
    <w:tbl>
      <w:tblPr>
        <w:tblStyle w:val="10"/>
        <w:tblW w:w="1480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419"/>
        <w:gridCol w:w="2718"/>
        <w:gridCol w:w="6079"/>
        <w:gridCol w:w="1095"/>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41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718"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6079"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09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4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8" w:hRule="atLeast"/>
        </w:trPr>
        <w:tc>
          <w:tcPr>
            <w:tcW w:w="1154" w:type="dxa"/>
            <w:vMerge w:val="restart"/>
            <w:noWrap w:val="0"/>
            <w:vAlign w:val="top"/>
          </w:tcPr>
          <w:p>
            <w:pPr>
              <w:spacing w:line="240" w:lineRule="auto"/>
              <w:rPr>
                <w:rFonts w:hint="eastAsia" w:ascii="仿宋_GB2312" w:hAnsi="仿宋_GB2312" w:eastAsia="仿宋_GB2312" w:cs="仿宋_GB2312"/>
                <w:sz w:val="24"/>
                <w:szCs w:val="24"/>
                <w:highlight w:val="none"/>
              </w:rPr>
            </w:pPr>
          </w:p>
        </w:tc>
        <w:tc>
          <w:tcPr>
            <w:tcW w:w="1419"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3.提高人群高血压、糖尿病知晓率。</w:t>
            </w:r>
          </w:p>
        </w:tc>
        <w:tc>
          <w:tcPr>
            <w:tcW w:w="607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(1)30岁以上高血压知晓率≥60%,2分</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55-60%,1分</w:t>
            </w:r>
            <w:r>
              <w:rPr>
                <w:rFonts w:hint="eastAsia" w:ascii="仿宋_GB2312" w:hAnsi="仿宋_GB2312" w:eastAsia="仿宋_GB2312" w:cs="仿宋_GB2312"/>
                <w:color w:val="auto"/>
                <w:spacing w:val="0"/>
                <w:sz w:val="24"/>
                <w:szCs w:val="24"/>
                <w:highlight w:val="none"/>
                <w:lang w:val="en-US" w:eastAsia="zh-CN"/>
              </w:rPr>
              <w:t>；</w:t>
            </w:r>
            <w:r>
              <w:rPr>
                <w:rFonts w:hint="eastAsia" w:ascii="仿宋_GB2312" w:hAnsi="仿宋_GB2312" w:eastAsia="仿宋_GB2312" w:cs="仿宋_GB2312"/>
                <w:color w:val="auto"/>
                <w:spacing w:val="0"/>
                <w:sz w:val="24"/>
                <w:szCs w:val="24"/>
                <w:highlight w:val="none"/>
              </w:rPr>
              <w:t>55%以下0分。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(2)18岁以上糖尿病知晓率≥55%,2分；50-55%,1分；50%以下0分。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3" w:hRule="atLeast"/>
        </w:trPr>
        <w:tc>
          <w:tcPr>
            <w:tcW w:w="1154" w:type="dxa"/>
            <w:vMerge w:val="continue"/>
            <w:noWrap w:val="0"/>
            <w:vAlign w:val="top"/>
          </w:tcPr>
          <w:p>
            <w:pPr>
              <w:spacing w:line="240" w:lineRule="auto"/>
              <w:rPr>
                <w:rFonts w:hint="eastAsia" w:ascii="仿宋_GB2312" w:hAnsi="仿宋_GB2312" w:eastAsia="仿宋_GB2312" w:cs="仿宋_GB2312"/>
                <w:sz w:val="24"/>
                <w:szCs w:val="24"/>
                <w:highlight w:val="none"/>
              </w:rPr>
            </w:pPr>
          </w:p>
        </w:tc>
        <w:tc>
          <w:tcPr>
            <w:tcW w:w="1419"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4.提高高血压、糖尿病患者规范管理率。</w:t>
            </w:r>
          </w:p>
        </w:tc>
        <w:tc>
          <w:tcPr>
            <w:tcW w:w="607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(1)35岁以上高血压患者规范管理率达到70%,2分；60%-70%,1分；60%以下不得分。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(2)35岁以上糖尿病患者规范管理率达到70%,2分；60%-70%,1分；60%以下不得分。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1154" w:type="dxa"/>
            <w:vMerge w:val="continue"/>
            <w:noWrap w:val="0"/>
            <w:vAlign w:val="top"/>
          </w:tcPr>
          <w:p>
            <w:pPr>
              <w:spacing w:line="240" w:lineRule="auto"/>
              <w:rPr>
                <w:rFonts w:hint="eastAsia" w:ascii="仿宋_GB2312" w:hAnsi="仿宋_GB2312" w:eastAsia="仿宋_GB2312" w:cs="仿宋_GB2312"/>
                <w:sz w:val="24"/>
                <w:szCs w:val="24"/>
                <w:highlight w:val="none"/>
              </w:rPr>
            </w:pPr>
          </w:p>
        </w:tc>
        <w:tc>
          <w:tcPr>
            <w:tcW w:w="1419"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5.提高管理人群高血压、糖尿病患者的控制率。</w:t>
            </w:r>
          </w:p>
        </w:tc>
        <w:tc>
          <w:tcPr>
            <w:tcW w:w="607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(1)高血压患者血压控制率高于全省平均水平5%及以上，2分；3-5%,1分</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3%以下0分。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(2)糖尿病患者血糖控制率高于全省平均水平5%及以上，2分；3-5%,1分；3%以下0分。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8" w:hRule="atLeast"/>
        </w:trPr>
        <w:tc>
          <w:tcPr>
            <w:tcW w:w="1154" w:type="dxa"/>
            <w:vMerge w:val="continue"/>
            <w:noWrap w:val="0"/>
            <w:vAlign w:val="top"/>
          </w:tcPr>
          <w:p>
            <w:pPr>
              <w:spacing w:line="240" w:lineRule="auto"/>
              <w:rPr>
                <w:rFonts w:hint="eastAsia" w:ascii="仿宋_GB2312" w:hAnsi="仿宋_GB2312" w:eastAsia="仿宋_GB2312" w:cs="仿宋_GB2312"/>
                <w:sz w:val="24"/>
                <w:szCs w:val="24"/>
                <w:highlight w:val="none"/>
              </w:rPr>
            </w:pPr>
          </w:p>
        </w:tc>
        <w:tc>
          <w:tcPr>
            <w:tcW w:w="1419"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(三)完善区域信息平台，实现医疗卫生机构间互联互通、信息共享。(15分)</w:t>
            </w: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1.建立区域卫生信息平台，实现公共卫生服务、诊疗信息互联互通。</w:t>
            </w:r>
          </w:p>
        </w:tc>
        <w:tc>
          <w:tcPr>
            <w:tcW w:w="607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(1)建立区域卫生健康信息平台，4分；其余0分。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(2)专业公共卫生机构、二级及以上医院和基层医疗卫生机构之间实现互联互通和信息共享，3分；其余0分。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(3)实现电子健康档案和电子病历的连续记录和信息共享，3分；其余0分。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卫生健康局、工业信息科技局、疾病预防控制中心、各级医疗机构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8" w:hRule="atLeast"/>
        </w:trPr>
        <w:tc>
          <w:tcPr>
            <w:tcW w:w="1154" w:type="dxa"/>
            <w:vMerge w:val="continue"/>
            <w:noWrap w:val="0"/>
            <w:vAlign w:val="top"/>
          </w:tcPr>
          <w:p>
            <w:pPr>
              <w:spacing w:line="240" w:lineRule="auto"/>
              <w:rPr>
                <w:rFonts w:hint="eastAsia" w:ascii="仿宋_GB2312" w:hAnsi="仿宋_GB2312" w:eastAsia="仿宋_GB2312" w:cs="仿宋_GB2312"/>
                <w:sz w:val="24"/>
                <w:szCs w:val="24"/>
                <w:highlight w:val="none"/>
              </w:rPr>
            </w:pPr>
          </w:p>
        </w:tc>
        <w:tc>
          <w:tcPr>
            <w:tcW w:w="1419"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2.应用互联网+、健康大数据提供便捷、高效的健康管理服务。</w:t>
            </w:r>
          </w:p>
        </w:tc>
        <w:tc>
          <w:tcPr>
            <w:tcW w:w="607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(1)应用互联网+技术为签约服务的患者提供健康管理和诊疗服务，3分；其余0分。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(2)应用健康大数据为签约服务的患者提供健康管理和诊疗服务，2分；其余0分。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卫生健康局、工业信息科技局、疾病预防控制中心、各级医疗机构</w:t>
            </w:r>
          </w:p>
        </w:tc>
      </w:tr>
    </w:tbl>
    <w:p>
      <w:pPr>
        <w:rPr>
          <w:highlight w:val="none"/>
        </w:rPr>
        <w:sectPr>
          <w:footerReference r:id="rId10" w:type="default"/>
          <w:pgSz w:w="16830" w:h="11870"/>
          <w:pgMar w:top="1008" w:right="1015" w:bottom="1953" w:left="1054" w:header="0" w:footer="1665" w:gutter="0"/>
          <w:pgNumType w:fmt="numberInDash"/>
          <w:cols w:space="720" w:num="1"/>
        </w:sectPr>
      </w:pPr>
    </w:p>
    <w:p>
      <w:pPr>
        <w:rPr>
          <w:highlight w:val="none"/>
        </w:rPr>
      </w:pPr>
    </w:p>
    <w:p>
      <w:pPr>
        <w:rPr>
          <w:highlight w:val="none"/>
        </w:rPr>
      </w:pPr>
    </w:p>
    <w:p>
      <w:pPr>
        <w:rPr>
          <w:highlight w:val="none"/>
        </w:rPr>
      </w:pPr>
    </w:p>
    <w:p>
      <w:pPr>
        <w:spacing w:line="20" w:lineRule="exact"/>
        <w:rPr>
          <w:highlight w:val="none"/>
        </w:rPr>
      </w:pPr>
    </w:p>
    <w:tbl>
      <w:tblPr>
        <w:tblStyle w:val="10"/>
        <w:tblW w:w="1477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0"/>
        <w:gridCol w:w="1440"/>
        <w:gridCol w:w="2661"/>
        <w:gridCol w:w="5867"/>
        <w:gridCol w:w="1261"/>
        <w:gridCol w:w="2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9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指标分类</w:t>
            </w:r>
          </w:p>
        </w:tc>
        <w:tc>
          <w:tcPr>
            <w:tcW w:w="1440"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指标内容</w:t>
            </w:r>
          </w:p>
        </w:tc>
        <w:tc>
          <w:tcPr>
            <w:tcW w:w="2661"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指标要求</w:t>
            </w:r>
          </w:p>
        </w:tc>
        <w:tc>
          <w:tcPr>
            <w:tcW w:w="5867"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赋分标准</w:t>
            </w:r>
          </w:p>
        </w:tc>
        <w:tc>
          <w:tcPr>
            <w:tcW w:w="1261"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rPr>
            </w:pPr>
            <w:r>
              <w:rPr>
                <w:rFonts w:hint="eastAsia" w:ascii="CESI楷体-GB2312" w:hAnsi="CESI楷体-GB2312" w:eastAsia="CESI楷体-GB2312" w:cs="CESI楷体-GB2312"/>
                <w:b/>
                <w:bCs/>
                <w:spacing w:val="2"/>
                <w:sz w:val="24"/>
                <w:szCs w:val="24"/>
                <w:highlight w:val="none"/>
              </w:rPr>
              <w:t>权重分值</w:t>
            </w:r>
          </w:p>
        </w:tc>
        <w:tc>
          <w:tcPr>
            <w:tcW w:w="2355" w:type="dxa"/>
            <w:noWrap w:val="0"/>
            <w:vAlign w:val="top"/>
          </w:tcPr>
          <w:p>
            <w:pPr>
              <w:spacing w:before="184" w:line="219" w:lineRule="auto"/>
              <w:ind w:left="84"/>
              <w:jc w:val="center"/>
              <w:rPr>
                <w:rFonts w:hint="eastAsia" w:ascii="CESI楷体-GB2312" w:hAnsi="CESI楷体-GB2312" w:eastAsia="CESI楷体-GB2312" w:cs="CESI楷体-GB2312"/>
                <w:b/>
                <w:bCs/>
                <w:spacing w:val="2"/>
                <w:sz w:val="24"/>
                <w:szCs w:val="24"/>
                <w:highlight w:val="none"/>
                <w:lang w:eastAsia="zh-CN"/>
              </w:rPr>
            </w:pPr>
            <w:r>
              <w:rPr>
                <w:rFonts w:hint="eastAsia" w:ascii="CESI楷体-GB2312" w:hAnsi="CESI楷体-GB2312" w:eastAsia="CESI楷体-GB2312" w:cs="CESI楷体-GB2312"/>
                <w:b/>
                <w:bCs/>
                <w:spacing w:val="2"/>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trPr>
        <w:tc>
          <w:tcPr>
            <w:tcW w:w="1190"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40"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(四)中西医并重，发挥中医药在慢性病预防</w:t>
            </w:r>
            <w:r>
              <w:rPr>
                <w:rFonts w:hint="default" w:ascii="仿宋_GB2312" w:hAnsi="仿宋_GB2312" w:eastAsia="仿宋_GB2312" w:cs="仿宋_GB2312"/>
                <w:color w:val="auto"/>
                <w:spacing w:val="0"/>
                <w:sz w:val="24"/>
                <w:szCs w:val="24"/>
                <w:highlight w:val="none"/>
              </w:rPr>
              <w:t>、</w:t>
            </w:r>
            <w:r>
              <w:rPr>
                <w:rFonts w:hint="eastAsia" w:ascii="仿宋_GB2312" w:hAnsi="仿宋_GB2312" w:eastAsia="仿宋_GB2312" w:cs="仿宋_GB2312"/>
                <w:color w:val="auto"/>
                <w:spacing w:val="0"/>
                <w:sz w:val="24"/>
                <w:szCs w:val="24"/>
                <w:highlight w:val="none"/>
              </w:rPr>
              <w:t>保健、诊疗、康复中的作用。</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(7分)</w:t>
            </w:r>
          </w:p>
        </w:tc>
        <w:tc>
          <w:tcPr>
            <w:tcW w:w="26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rPr>
              <w:t>1.辖区各社区卫生服务中心、乡镇卫生院有中医综合服务区。</w:t>
            </w:r>
          </w:p>
        </w:tc>
        <w:tc>
          <w:tcPr>
            <w:tcW w:w="5867"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(1)乡镇卫生院/社区卫生服务中心提供6类以上中医非药物疗法的比例达到100%,2分；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(2)社区卫生服务站/村卫生室提供4类以上中医非药物疗法的比例达到70%,2分；70%以下不得分。</w:t>
            </w:r>
          </w:p>
        </w:tc>
        <w:tc>
          <w:tcPr>
            <w:tcW w:w="12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卫生健康局、阳光社区卫生服务中心、各乡镇卫生院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8" w:hRule="atLeast"/>
        </w:trPr>
        <w:tc>
          <w:tcPr>
            <w:tcW w:w="119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40" w:type="dxa"/>
            <w:vMerge w:val="continue"/>
            <w:tcBorders>
              <w:bottom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6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rPr>
              <w:t>2.开展中医药养生保健知识的宣传及中医适宜技术推广。</w:t>
            </w:r>
          </w:p>
        </w:tc>
        <w:tc>
          <w:tcPr>
            <w:tcW w:w="5867"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(1)宣传中医药养生保健知识，1分；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(2)推广使用中医防治慢性病适宜技术，1分；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(3)对65岁以上老年人提供中医药健康管理；1分。</w:t>
            </w:r>
          </w:p>
        </w:tc>
        <w:tc>
          <w:tcPr>
            <w:tcW w:w="12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trPr>
        <w:tc>
          <w:tcPr>
            <w:tcW w:w="119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40"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（五）</w:t>
            </w:r>
            <w:r>
              <w:rPr>
                <w:rFonts w:hint="eastAsia" w:ascii="仿宋_GB2312" w:hAnsi="仿宋_GB2312" w:eastAsia="仿宋_GB2312" w:cs="仿宋_GB2312"/>
                <w:color w:val="auto"/>
                <w:spacing w:val="0"/>
                <w:sz w:val="24"/>
                <w:szCs w:val="24"/>
                <w:highlight w:val="none"/>
              </w:rPr>
              <w:t>做好基本医疗保险、城乡居民大病保险和医疗救助重大疾病保障的衔接。(4分)</w:t>
            </w:r>
          </w:p>
        </w:tc>
        <w:tc>
          <w:tcPr>
            <w:tcW w:w="26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val="en-US" w:eastAsia="zh-CN"/>
              </w:rPr>
              <w:t>1.</w:t>
            </w:r>
            <w:r>
              <w:rPr>
                <w:rFonts w:hint="eastAsia" w:ascii="仿宋_GB2312" w:hAnsi="仿宋_GB2312" w:eastAsia="仿宋_GB2312" w:cs="仿宋_GB2312"/>
                <w:color w:val="auto"/>
                <w:spacing w:val="0"/>
                <w:sz w:val="24"/>
                <w:szCs w:val="24"/>
                <w:highlight w:val="none"/>
              </w:rPr>
              <w:t>做好基本医疗保险、城乡居民大病保险和医疗救助重大疾病保障。</w:t>
            </w:r>
          </w:p>
        </w:tc>
        <w:tc>
          <w:tcPr>
            <w:tcW w:w="5867"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(1)落实基本医疗保险、大病保险和医疗救助重大疾病保障等相关政策，1分；其余0分。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(2)提高签约慢性病患者的医疗保障水平和残疾人、流动人口、低收入等人群医疗救助水平的具体措施，1分；其余0分。</w:t>
            </w:r>
          </w:p>
        </w:tc>
        <w:tc>
          <w:tcPr>
            <w:tcW w:w="12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医疗保障局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7" w:hRule="atLeast"/>
        </w:trPr>
        <w:tc>
          <w:tcPr>
            <w:tcW w:w="119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40"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6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2.基层医疗卫生机构优先配备使用基本药物，根据省级医保药品报销目录，配备使用一定数量或比例的药品。</w:t>
            </w:r>
          </w:p>
        </w:tc>
        <w:tc>
          <w:tcPr>
            <w:tcW w:w="5867"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(1)按基本药物目录配置，1分；其余0分。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复审：辖区基层医疗卫生服务机构设立药物绿色通道(包括延伸处方或长处方)1分。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(2)按省级卫生健康行政部门规定和要求配备使用医保报销药物。1分；其余0分。</w:t>
            </w:r>
          </w:p>
        </w:tc>
        <w:tc>
          <w:tcPr>
            <w:tcW w:w="1261"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医疗保障局、卫生健康局、阳光社区卫生服务中心、各乡镇卫生院</w:t>
            </w:r>
          </w:p>
        </w:tc>
      </w:tr>
    </w:tbl>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sectPr>
          <w:footerReference r:id="rId11" w:type="default"/>
          <w:pgSz w:w="16830" w:h="11870"/>
          <w:pgMar w:top="1008" w:right="965" w:bottom="2009" w:left="1085" w:header="0" w:footer="1741" w:gutter="0"/>
          <w:pgNumType w:fmt="numberInDash"/>
          <w:cols w:space="720" w:num="1"/>
        </w:sectPr>
      </w:pPr>
    </w:p>
    <w:p>
      <w:pPr>
        <w:spacing w:line="100" w:lineRule="exact"/>
        <w:rPr>
          <w:highlight w:val="none"/>
        </w:rPr>
      </w:pPr>
    </w:p>
    <w:p>
      <w:pPr>
        <w:spacing w:line="100" w:lineRule="exact"/>
        <w:rPr>
          <w:highlight w:val="none"/>
        </w:rPr>
      </w:pPr>
    </w:p>
    <w:p>
      <w:pPr>
        <w:spacing w:line="100" w:lineRule="exact"/>
        <w:rPr>
          <w:highlight w:val="none"/>
        </w:rPr>
      </w:pPr>
    </w:p>
    <w:tbl>
      <w:tblPr>
        <w:tblStyle w:val="10"/>
        <w:tblW w:w="147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399"/>
        <w:gridCol w:w="2738"/>
        <w:gridCol w:w="6044"/>
        <w:gridCol w:w="1080"/>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154" w:type="dxa"/>
            <w:noWrap w:val="0"/>
            <w:vAlign w:val="top"/>
          </w:tcPr>
          <w:p>
            <w:pPr>
              <w:spacing w:before="181" w:line="219" w:lineRule="auto"/>
              <w:ind w:left="8"/>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5"/>
                <w:sz w:val="24"/>
                <w:szCs w:val="24"/>
                <w:highlight w:val="none"/>
              </w:rPr>
              <w:t>指标分类</w:t>
            </w:r>
          </w:p>
        </w:tc>
        <w:tc>
          <w:tcPr>
            <w:tcW w:w="1399" w:type="dxa"/>
            <w:noWrap w:val="0"/>
            <w:vAlign w:val="top"/>
          </w:tcPr>
          <w:p>
            <w:pPr>
              <w:spacing w:before="184" w:line="219" w:lineRule="auto"/>
              <w:ind w:left="211"/>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3"/>
                <w:sz w:val="24"/>
                <w:szCs w:val="24"/>
                <w:highlight w:val="none"/>
              </w:rPr>
              <w:t>指标内容</w:t>
            </w:r>
          </w:p>
        </w:tc>
        <w:tc>
          <w:tcPr>
            <w:tcW w:w="2738" w:type="dxa"/>
            <w:noWrap w:val="0"/>
            <w:vAlign w:val="top"/>
          </w:tcPr>
          <w:p>
            <w:pPr>
              <w:spacing w:before="182" w:line="220" w:lineRule="auto"/>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11"/>
                <w:sz w:val="24"/>
                <w:szCs w:val="24"/>
                <w:highlight w:val="none"/>
              </w:rPr>
              <w:t>指标要求</w:t>
            </w:r>
          </w:p>
        </w:tc>
        <w:tc>
          <w:tcPr>
            <w:tcW w:w="6044" w:type="dxa"/>
            <w:noWrap w:val="0"/>
            <w:vAlign w:val="top"/>
          </w:tcPr>
          <w:p>
            <w:pPr>
              <w:spacing w:before="182" w:line="220" w:lineRule="auto"/>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11"/>
                <w:sz w:val="24"/>
                <w:szCs w:val="24"/>
                <w:highlight w:val="none"/>
              </w:rPr>
              <w:t>赋分标准</w:t>
            </w:r>
          </w:p>
        </w:tc>
        <w:tc>
          <w:tcPr>
            <w:tcW w:w="1080" w:type="dxa"/>
            <w:noWrap w:val="0"/>
            <w:vAlign w:val="top"/>
          </w:tcPr>
          <w:p>
            <w:pPr>
              <w:spacing w:before="181" w:line="219" w:lineRule="auto"/>
              <w:ind w:left="53"/>
              <w:jc w:val="center"/>
              <w:rPr>
                <w:rFonts w:hint="eastAsia" w:ascii="CESI楷体-GB2312" w:hAnsi="CESI楷体-GB2312" w:eastAsia="CESI楷体-GB2312" w:cs="CESI楷体-GB2312"/>
                <w:b/>
                <w:bCs/>
                <w:sz w:val="24"/>
                <w:szCs w:val="24"/>
                <w:highlight w:val="none"/>
              </w:rPr>
            </w:pPr>
            <w:r>
              <w:rPr>
                <w:rFonts w:hint="eastAsia" w:ascii="CESI楷体-GB2312" w:hAnsi="CESI楷体-GB2312" w:eastAsia="CESI楷体-GB2312" w:cs="CESI楷体-GB2312"/>
                <w:b/>
                <w:bCs/>
                <w:spacing w:val="-5"/>
                <w:sz w:val="24"/>
                <w:szCs w:val="24"/>
                <w:highlight w:val="none"/>
              </w:rPr>
              <w:t>权重分值</w:t>
            </w:r>
          </w:p>
        </w:tc>
        <w:tc>
          <w:tcPr>
            <w:tcW w:w="2340" w:type="dxa"/>
            <w:noWrap w:val="0"/>
            <w:vAlign w:val="top"/>
          </w:tcPr>
          <w:p>
            <w:pPr>
              <w:spacing w:before="181" w:line="219" w:lineRule="auto"/>
              <w:ind w:left="53"/>
              <w:jc w:val="center"/>
              <w:rPr>
                <w:rFonts w:hint="eastAsia" w:ascii="CESI楷体-GB2312" w:hAnsi="CESI楷体-GB2312" w:eastAsia="CESI楷体-GB2312" w:cs="CESI楷体-GB2312"/>
                <w:b/>
                <w:bCs/>
                <w:spacing w:val="-5"/>
                <w:sz w:val="24"/>
                <w:szCs w:val="24"/>
                <w:highlight w:val="none"/>
                <w:lang w:eastAsia="zh-CN"/>
              </w:rPr>
            </w:pPr>
            <w:r>
              <w:rPr>
                <w:rFonts w:hint="eastAsia" w:ascii="CESI楷体-GB2312" w:hAnsi="CESI楷体-GB2312" w:eastAsia="CESI楷体-GB2312" w:cs="CESI楷体-GB2312"/>
                <w:b/>
                <w:bCs/>
                <w:spacing w:val="-5"/>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6" w:hRule="atLeast"/>
        </w:trPr>
        <w:tc>
          <w:tcPr>
            <w:tcW w:w="1154"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99"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（六）</w:t>
            </w:r>
            <w:r>
              <w:rPr>
                <w:rFonts w:hint="eastAsia" w:ascii="仿宋_GB2312" w:hAnsi="仿宋_GB2312" w:eastAsia="仿宋_GB2312" w:cs="仿宋_GB2312"/>
                <w:color w:val="auto"/>
                <w:spacing w:val="0"/>
                <w:sz w:val="24"/>
                <w:szCs w:val="24"/>
                <w:highlight w:val="none"/>
              </w:rPr>
              <w:t>动员社会力量参与慢性病防控工作，促进医养结合。</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7分)</w:t>
            </w: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1.政府引导、市场驱动、社会力量参与，为慢性病患者提供健康管理服务。</w:t>
            </w:r>
          </w:p>
        </w:tc>
        <w:tc>
          <w:tcPr>
            <w:tcW w:w="604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(1)有效引进社会资本参与慢性病防控，1分；其余0分。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(2)商业健康保险参与医疗救助，1分；其余0分。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(3)通过向社会力量购买服务的方式，为慢性病患者提供健康管理服务，2分；其余0分。</w:t>
            </w:r>
          </w:p>
        </w:tc>
        <w:tc>
          <w:tcPr>
            <w:tcW w:w="108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firstLine="240" w:firstLineChars="100"/>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5" w:hRule="atLeast"/>
        </w:trPr>
        <w:tc>
          <w:tcPr>
            <w:tcW w:w="1154" w:type="dxa"/>
            <w:vMerge w:val="continue"/>
            <w:tcBorders>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399" w:type="dxa"/>
            <w:vMerge w:val="continue"/>
            <w:tcBorders>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3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2.促进慢性病全程防治管理服务与社区居家养老和机构养老服务融合。</w:t>
            </w:r>
          </w:p>
        </w:tc>
        <w:tc>
          <w:tcPr>
            <w:tcW w:w="604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(1)辖区内每个街道(乡镇除外)均设有为居家养老的半失能老年人提供日间托养服务的社区老年人日间照料中心，1分；其余0分。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(2)以不同形式为入住老年人提供医疗卫生服务的养老机构比例达到100%,1分；其余0分。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(3)设置老年医学科的二级及以上综合性医院比例达到70%,得1分；50%-70%,得0.5分；50%以下0分。</w:t>
            </w:r>
          </w:p>
        </w:tc>
        <w:tc>
          <w:tcPr>
            <w:tcW w:w="108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民政局、人力资源和社会保障局、卫生健康局、人民医院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2" w:hRule="atLeast"/>
        </w:trPr>
        <w:tc>
          <w:tcPr>
            <w:tcW w:w="1154" w:type="dxa"/>
            <w:tcBorders>
              <w:top w:val="single" w:color="auto" w:sz="4" w:space="0"/>
              <w:left w:val="single" w:color="auto" w:sz="4" w:space="0"/>
              <w:bottom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七、监测评估(30分)</w:t>
            </w:r>
          </w:p>
        </w:tc>
        <w:tc>
          <w:tcPr>
            <w:tcW w:w="1399" w:type="dxa"/>
            <w:tcBorders>
              <w:top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(一)开展过程质量控制和重点慢性病监测工作。(20分)</w:t>
            </w:r>
          </w:p>
        </w:tc>
        <w:tc>
          <w:tcPr>
            <w:tcW w:w="2738" w:type="dxa"/>
            <w:tcBorders>
              <w:lef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1.规范开展覆盖辖区慢性病及相关危险因素监测，掌握辖区重点慢性病状况、影响因素和疾病负担。</w:t>
            </w:r>
          </w:p>
        </w:tc>
        <w:tc>
          <w:tcPr>
            <w:tcW w:w="604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全人群的死因监测、慢性病与营养监测(含心脑血管事件监测、慢性阻塞性肺疾病监测)、肿瘤随访登记等重大慢性病登记报告达到基本技术指标，完成报告。</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(1)死因监测，2分；其余0分。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(2)慢性病与营养监测，6分。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(3)肿瘤随访登记，2分；其余0分。</w:t>
            </w:r>
          </w:p>
        </w:tc>
        <w:tc>
          <w:tcPr>
            <w:tcW w:w="108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bl>
    <w:p>
      <w:pPr>
        <w:rPr>
          <w:highlight w:val="none"/>
        </w:rPr>
        <w:sectPr>
          <w:footerReference r:id="rId12" w:type="default"/>
          <w:pgSz w:w="16830" w:h="11870"/>
          <w:pgMar w:top="1008" w:right="965" w:bottom="1961" w:left="1104" w:header="0" w:footer="1720" w:gutter="0"/>
          <w:pgNumType w:fmt="numberInDash"/>
          <w:cols w:space="720" w:num="1"/>
        </w:sectPr>
      </w:pPr>
    </w:p>
    <w:p>
      <w:pPr>
        <w:rPr>
          <w:highlight w:val="none"/>
        </w:rPr>
      </w:pPr>
    </w:p>
    <w:p>
      <w:pPr>
        <w:rPr>
          <w:highlight w:val="none"/>
        </w:rPr>
      </w:pPr>
    </w:p>
    <w:p>
      <w:pPr>
        <w:rPr>
          <w:highlight w:val="none"/>
        </w:rPr>
      </w:pPr>
    </w:p>
    <w:p>
      <w:pPr>
        <w:rPr>
          <w:highlight w:val="none"/>
        </w:rPr>
      </w:pPr>
    </w:p>
    <w:p>
      <w:pPr>
        <w:spacing w:line="20" w:lineRule="exact"/>
        <w:rPr>
          <w:highlight w:val="none"/>
        </w:rPr>
      </w:pPr>
    </w:p>
    <w:tbl>
      <w:tblPr>
        <w:tblStyle w:val="10"/>
        <w:tblW w:w="14670" w:type="dxa"/>
        <w:tblInd w:w="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4"/>
        <w:gridCol w:w="1399"/>
        <w:gridCol w:w="2748"/>
        <w:gridCol w:w="5984"/>
        <w:gridCol w:w="1095"/>
        <w:gridCol w:w="23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04"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指标分类</w:t>
            </w:r>
          </w:p>
        </w:tc>
        <w:tc>
          <w:tcPr>
            <w:tcW w:w="1399"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指标内容</w:t>
            </w:r>
          </w:p>
        </w:tc>
        <w:tc>
          <w:tcPr>
            <w:tcW w:w="2748"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指标要求</w:t>
            </w:r>
          </w:p>
        </w:tc>
        <w:tc>
          <w:tcPr>
            <w:tcW w:w="5984"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赋分标准</w:t>
            </w:r>
          </w:p>
        </w:tc>
        <w:tc>
          <w:tcPr>
            <w:tcW w:w="1095"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权重分值</w:t>
            </w:r>
          </w:p>
        </w:tc>
        <w:tc>
          <w:tcPr>
            <w:tcW w:w="2340"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lang w:eastAsia="zh-CN"/>
              </w:rPr>
            </w:pPr>
            <w:r>
              <w:rPr>
                <w:rFonts w:hint="eastAsia" w:ascii="CESI楷体-GB2312" w:hAnsi="CESI楷体-GB2312" w:eastAsia="CESI楷体-GB2312" w:cs="CESI楷体-GB2312"/>
                <w:b/>
                <w:bCs/>
                <w:spacing w:val="-5"/>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4" w:hRule="atLeast"/>
        </w:trPr>
        <w:tc>
          <w:tcPr>
            <w:tcW w:w="1104" w:type="dxa"/>
            <w:vMerge w:val="restart"/>
            <w:noWrap w:val="0"/>
            <w:vAlign w:val="top"/>
          </w:tcPr>
          <w:p>
            <w:pPr>
              <w:rPr>
                <w:rFonts w:ascii="Arial"/>
                <w:sz w:val="21"/>
                <w:highlight w:val="none"/>
              </w:rPr>
            </w:pPr>
          </w:p>
        </w:tc>
        <w:tc>
          <w:tcPr>
            <w:tcW w:w="139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2.慢性病监测数据互联互通。</w:t>
            </w:r>
          </w:p>
        </w:tc>
        <w:tc>
          <w:tcPr>
            <w:tcW w:w="598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(1)利用省、地市、县三级人口健康信息和疾病预防控制信息管理系统，实现重点慢性病监测数据互联互通，5分；其余0分。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(2)慢性病监测数据管理利用得到省级及以上卫生行政部门认可推广，5分</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卫生健康局、疾病预防控制中心、各级医疗机构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9" w:hRule="atLeast"/>
        </w:trPr>
        <w:tc>
          <w:tcPr>
            <w:tcW w:w="1104" w:type="dxa"/>
            <w:vMerge w:val="continue"/>
            <w:noWrap w:val="0"/>
            <w:vAlign w:val="top"/>
          </w:tcPr>
          <w:p>
            <w:pPr>
              <w:rPr>
                <w:rFonts w:ascii="Arial"/>
                <w:sz w:val="21"/>
                <w:highlight w:val="none"/>
              </w:rPr>
            </w:pPr>
          </w:p>
        </w:tc>
        <w:tc>
          <w:tcPr>
            <w:tcW w:w="1399"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(二)开展慢性病防控社会因素调查。(10分)</w:t>
            </w:r>
          </w:p>
        </w:tc>
        <w:tc>
          <w:tcPr>
            <w:tcW w:w="274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1.辖区每5年开展一次慢性病及社会影响因素状况调查。</w:t>
            </w:r>
          </w:p>
        </w:tc>
        <w:tc>
          <w:tcPr>
            <w:tcW w:w="5984"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(1)规范制定慢性病及社会影响因素状况调查方案，2分；其余0分。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(2)综合运用社会学、流行病学及管理学理论与方法开展慢性病及社会影响 因素状况调查，完成调查技术报告，2分；其余0分。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(3)技术报告信息来源权威、准确、多元、综合，报告结构完整，有背景、方法、现状与主要问题、资源分析、预期目标、主要对策与具体措施等内容，2分；其余0分。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(4)技术报告调查结果清晰、调查依据正确、对策合乎逻辑、目标设定科学、措施设计得当，2分；其余0分。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(5)技术报告结果用于指引、评估示范区建设及慢性病综合防控工作计划的制定，2分；其余0分。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40"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统计局、公安局、民政局、人力资源和社会保障局、卫生健康局、疾病预防控制中心</w:t>
            </w:r>
          </w:p>
        </w:tc>
      </w:tr>
    </w:tbl>
    <w:p>
      <w:pPr>
        <w:rPr>
          <w:highlight w:val="none"/>
        </w:rPr>
        <w:sectPr>
          <w:footerReference r:id="rId13" w:type="default"/>
          <w:pgSz w:w="16830" w:h="11870"/>
          <w:pgMar w:top="1008" w:right="875" w:bottom="2010" w:left="1154" w:header="0" w:footer="1712" w:gutter="0"/>
          <w:pgNumType w:fmt="numberInDash"/>
          <w:cols w:space="720" w:num="1"/>
        </w:sectPr>
      </w:pPr>
    </w:p>
    <w:tbl>
      <w:tblPr>
        <w:tblStyle w:val="10"/>
        <w:tblpPr w:leftFromText="180" w:rightFromText="180" w:vertAnchor="text" w:horzAnchor="page" w:tblpX="1204" w:tblpY="176"/>
        <w:tblOverlap w:val="never"/>
        <w:tblW w:w="1479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409"/>
        <w:gridCol w:w="2718"/>
        <w:gridCol w:w="6063"/>
        <w:gridCol w:w="1095"/>
        <w:gridCol w:w="23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54"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指标分类</w:t>
            </w:r>
          </w:p>
        </w:tc>
        <w:tc>
          <w:tcPr>
            <w:tcW w:w="1409"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指标内容</w:t>
            </w:r>
          </w:p>
        </w:tc>
        <w:tc>
          <w:tcPr>
            <w:tcW w:w="2718"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指标要求</w:t>
            </w:r>
          </w:p>
        </w:tc>
        <w:tc>
          <w:tcPr>
            <w:tcW w:w="6063"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赋分标准</w:t>
            </w:r>
          </w:p>
        </w:tc>
        <w:tc>
          <w:tcPr>
            <w:tcW w:w="1095"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rPr>
            </w:pPr>
            <w:r>
              <w:rPr>
                <w:rFonts w:hint="eastAsia" w:ascii="CESI楷体-GB2312" w:hAnsi="CESI楷体-GB2312" w:eastAsia="CESI楷体-GB2312" w:cs="CESI楷体-GB2312"/>
                <w:b/>
                <w:bCs/>
                <w:spacing w:val="-5"/>
                <w:sz w:val="24"/>
                <w:szCs w:val="24"/>
                <w:highlight w:val="none"/>
              </w:rPr>
              <w:t>权重分值</w:t>
            </w:r>
          </w:p>
        </w:tc>
        <w:tc>
          <w:tcPr>
            <w:tcW w:w="2355" w:type="dxa"/>
            <w:noWrap w:val="0"/>
            <w:vAlign w:val="top"/>
          </w:tcPr>
          <w:p>
            <w:pPr>
              <w:spacing w:before="181" w:line="219" w:lineRule="auto"/>
              <w:ind w:left="8"/>
              <w:jc w:val="center"/>
              <w:rPr>
                <w:rFonts w:hint="eastAsia" w:ascii="CESI楷体-GB2312" w:hAnsi="CESI楷体-GB2312" w:eastAsia="CESI楷体-GB2312" w:cs="CESI楷体-GB2312"/>
                <w:b/>
                <w:bCs/>
                <w:spacing w:val="-5"/>
                <w:sz w:val="24"/>
                <w:szCs w:val="24"/>
                <w:highlight w:val="none"/>
                <w:lang w:eastAsia="zh-CN"/>
              </w:rPr>
            </w:pPr>
            <w:r>
              <w:rPr>
                <w:rFonts w:hint="eastAsia" w:ascii="CESI楷体-GB2312" w:hAnsi="CESI楷体-GB2312" w:eastAsia="CESI楷体-GB2312" w:cs="CESI楷体-GB2312"/>
                <w:b/>
                <w:bCs/>
                <w:spacing w:val="-5"/>
                <w:sz w:val="24"/>
                <w:szCs w:val="24"/>
                <w:highlight w:val="none"/>
                <w:lang w:eastAsia="zh-CN"/>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0" w:hRule="atLeast"/>
        </w:trPr>
        <w:tc>
          <w:tcPr>
            <w:tcW w:w="1154"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八、创新引领(35分)</w:t>
            </w:r>
          </w:p>
        </w:tc>
        <w:tc>
          <w:tcPr>
            <w:tcW w:w="1409" w:type="dxa"/>
            <w:vMerge w:val="restart"/>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慢性病综合防控工作有特色、可复制、可推广。(35分)</w:t>
            </w: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1.倡导慢性病综合防控工作与当地社会、文化等建设和公共服务、公共产品供给相结合。</w:t>
            </w:r>
          </w:p>
        </w:tc>
        <w:tc>
          <w:tcPr>
            <w:tcW w:w="6063"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慢性病综合防控工作与辖区社区文化建设、健康城市建设、文明创建、公共服务与公共产品等相关项目有机衔接整合，以达到1+1&gt;2的实际效果。建立协同工作机制并有效街接达5项，10分；2-4项，5分；其余0分。未达到提高实际效果者分数减半。</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default" w:ascii="仿宋_GB2312" w:hAnsi="仿宋_GB2312" w:eastAsia="仿宋_GB2312" w:cs="仿宋_GB2312"/>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lang w:eastAsia="zh-CN"/>
              </w:rPr>
              <w:t>联席会议领导小组各成员单位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8" w:hRule="atLeast"/>
        </w:trPr>
        <w:tc>
          <w:tcPr>
            <w:tcW w:w="1154"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09"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2.总结有创新、特色案例。</w:t>
            </w:r>
          </w:p>
        </w:tc>
        <w:tc>
          <w:tcPr>
            <w:tcW w:w="6063"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创新特色案例达2个，案例撰写符合要求，15分；1个，10分；其余0分。案例撰写不符合要求者分数减半。</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复审：区别于创建年份的创新特色案例达到3个，撰写符合要求，15分；2个，10分；其余0分。案例撰写不符合要求者分数减半。</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案例撰写要求包括：主题鲜明突出防控重点、技术流程清晰逻辑性强、特色突出创新意识明显、易于被推广可操作性强。</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15</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联席会议领导小组各成员单位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1154"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1409" w:type="dxa"/>
            <w:vMerge w:val="continue"/>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tc>
        <w:tc>
          <w:tcPr>
            <w:tcW w:w="2718"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3.示范区建设成功经验起到示范引领作用。</w:t>
            </w:r>
          </w:p>
        </w:tc>
        <w:tc>
          <w:tcPr>
            <w:tcW w:w="6063"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(1)示范区建设成功经验在本辖区得到有效推广应用2项及以上，5分；1项，2分；其余0分。</w:t>
            </w: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(2)示范区建设成功经验在辖区外得到有效推广应用2项及以上，5分；1项，2分；其余0分。</w:t>
            </w:r>
          </w:p>
        </w:tc>
        <w:tc>
          <w:tcPr>
            <w:tcW w:w="109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240" w:lineRule="auto"/>
              <w:ind w:left="51"/>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10</w:t>
            </w:r>
          </w:p>
        </w:tc>
        <w:tc>
          <w:tcPr>
            <w:tcW w:w="2355" w:type="dxa"/>
            <w:noWrap w:val="0"/>
            <w:vAlign w:val="top"/>
          </w:tcPr>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240" w:lineRule="auto"/>
              <w:ind w:left="51"/>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联席会议领导小组各成员单位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154"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合计</w:t>
            </w:r>
          </w:p>
        </w:tc>
        <w:tc>
          <w:tcPr>
            <w:tcW w:w="1409"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51" w:firstLine="360" w:firstLineChars="150"/>
              <w:textAlignment w:val="auto"/>
              <w:rPr>
                <w:rFonts w:hint="eastAsia" w:ascii="仿宋_GB2312" w:hAnsi="仿宋_GB2312" w:eastAsia="仿宋_GB2312" w:cs="仿宋_GB2312"/>
                <w:color w:val="auto"/>
                <w:spacing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51" w:firstLine="360" w:firstLineChars="150"/>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300</w:t>
            </w:r>
          </w:p>
        </w:tc>
        <w:tc>
          <w:tcPr>
            <w:tcW w:w="2718" w:type="dxa"/>
            <w:noWrap w:val="0"/>
            <w:vAlign w:val="top"/>
          </w:tcPr>
          <w:p>
            <w:pPr>
              <w:spacing w:line="360" w:lineRule="auto"/>
              <w:rPr>
                <w:rFonts w:ascii="Arial"/>
                <w:sz w:val="24"/>
                <w:szCs w:val="24"/>
                <w:highlight w:val="none"/>
              </w:rPr>
            </w:pPr>
          </w:p>
        </w:tc>
        <w:tc>
          <w:tcPr>
            <w:tcW w:w="6063" w:type="dxa"/>
            <w:noWrap w:val="0"/>
            <w:vAlign w:val="top"/>
          </w:tcPr>
          <w:p>
            <w:pPr>
              <w:spacing w:line="360" w:lineRule="auto"/>
              <w:jc w:val="center"/>
              <w:rPr>
                <w:rFonts w:ascii="Arial"/>
                <w:sz w:val="24"/>
                <w:szCs w:val="24"/>
                <w:highlight w:val="none"/>
              </w:rPr>
            </w:pPr>
          </w:p>
        </w:tc>
        <w:tc>
          <w:tcPr>
            <w:tcW w:w="1095" w:type="dxa"/>
            <w:noWrap w:val="0"/>
            <w:vAlign w:val="top"/>
          </w:tcPr>
          <w:p>
            <w:pPr>
              <w:spacing w:before="300" w:line="360" w:lineRule="auto"/>
              <w:jc w:val="center"/>
              <w:rPr>
                <w:rFonts w:ascii="宋体" w:hAnsi="宋体" w:eastAsia="宋体" w:cs="宋体"/>
                <w:sz w:val="24"/>
                <w:szCs w:val="24"/>
                <w:highlight w:val="none"/>
              </w:rPr>
            </w:pPr>
            <w:r>
              <w:rPr>
                <w:rFonts w:hint="eastAsia" w:ascii="仿宋_GB2312" w:hAnsi="仿宋_GB2312" w:eastAsia="仿宋_GB2312" w:cs="仿宋_GB2312"/>
                <w:color w:val="auto"/>
                <w:spacing w:val="0"/>
                <w:sz w:val="24"/>
                <w:szCs w:val="24"/>
                <w:highlight w:val="none"/>
              </w:rPr>
              <w:t>300</w:t>
            </w:r>
          </w:p>
        </w:tc>
        <w:tc>
          <w:tcPr>
            <w:tcW w:w="2355" w:type="dxa"/>
            <w:noWrap w:val="0"/>
            <w:vAlign w:val="top"/>
          </w:tcPr>
          <w:p>
            <w:pPr>
              <w:spacing w:before="300" w:line="360" w:lineRule="auto"/>
              <w:ind w:left="480"/>
              <w:rPr>
                <w:rFonts w:ascii="宋体" w:hAnsi="宋体" w:eastAsia="宋体" w:cs="宋体"/>
                <w:spacing w:val="-4"/>
                <w:sz w:val="24"/>
                <w:szCs w:val="24"/>
                <w:highlight w:val="none"/>
              </w:rPr>
            </w:pPr>
          </w:p>
        </w:tc>
      </w:tr>
    </w:tbl>
    <w:p>
      <w:bookmarkStart w:id="0" w:name="_GoBack"/>
      <w:bookmarkEnd w:id="0"/>
    </w:p>
    <w:sectPr>
      <w:footerReference r:id="rId1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ESI楷体-GB2312">
    <w:altName w:val="楷体_GB2312"/>
    <w:panose1 w:val="02000500000000000000"/>
    <w:charset w:val="86"/>
    <w:family w:val="auto"/>
    <w:pitch w:val="default"/>
    <w:sig w:usb0="00000000" w:usb1="00000000" w:usb2="00000012"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ind w:right="644"/>
      <w:jc w:val="right"/>
      <w:rPr>
        <w:rFonts w:ascii="宋体" w:hAnsi="宋体" w:eastAsia="宋体" w:cs="宋体"/>
        <w:sz w:val="27"/>
        <w:szCs w:val="27"/>
      </w:rPr>
    </w:pPr>
    <w:r>
      <w:rPr>
        <w:sz w:val="27"/>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ind w:left="615"/>
      <w:rPr>
        <w:rFonts w:ascii="宋体" w:hAnsi="宋体" w:eastAsia="宋体" w:cs="宋体"/>
        <w:sz w:val="27"/>
        <w:szCs w:val="27"/>
      </w:rPr>
    </w:pPr>
    <w:r>
      <w:rPr>
        <w:sz w:val="27"/>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- 10 -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ind w:left="12835"/>
      <w:rPr>
        <w:rFonts w:ascii="宋体" w:hAnsi="宋体" w:eastAsia="宋体" w:cs="宋体"/>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ind w:left="625"/>
      <w:rPr>
        <w:rFonts w:ascii="宋体" w:hAnsi="宋体" w:eastAsia="宋体" w:cs="宋体"/>
        <w:sz w:val="29"/>
        <w:szCs w:val="29"/>
      </w:rPr>
    </w:pPr>
    <w:r>
      <w:rPr>
        <w:sz w:val="29"/>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- 12 -</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3" w:lineRule="auto"/>
      <w:ind w:right="644"/>
      <w:jc w:val="right"/>
      <w:rPr>
        <w:rFonts w:ascii="宋体" w:hAnsi="宋体" w:eastAsia="宋体" w:cs="宋体"/>
        <w:sz w:val="29"/>
        <w:szCs w:val="29"/>
      </w:rPr>
    </w:pPr>
    <w:r>
      <w:rPr>
        <w:sz w:val="29"/>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- 16 -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- 16 -</w:t>
                    </w:r>
                    <w:r>
                      <w:rPr>
                        <w:rFonts w:hint="eastAsia" w:ascii="宋体" w:hAnsi="宋体" w:eastAsia="宋体" w:cs="宋体"/>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2" w:lineRule="auto"/>
      <w:ind w:left="634"/>
      <w:rPr>
        <w:rFonts w:ascii="宋体" w:hAnsi="宋体" w:eastAsia="宋体" w:cs="宋体"/>
        <w:sz w:val="29"/>
        <w:szCs w:val="29"/>
      </w:rPr>
    </w:pPr>
    <w:r>
      <w:rPr>
        <w:sz w:val="29"/>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- 18 -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path/>
              <v:fill on="f" focussize="0,0"/>
              <v:stroke on="f"/>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- 18 -</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left="635"/>
      <w:rPr>
        <w:rFonts w:ascii="宋体" w:hAnsi="宋体" w:eastAsia="宋体" w:cs="宋体"/>
        <w:sz w:val="29"/>
        <w:szCs w:val="29"/>
      </w:rPr>
    </w:pPr>
    <w:r>
      <w:rPr>
        <w:sz w:val="29"/>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right="654"/>
      <w:jc w:val="right"/>
      <w:rPr>
        <w:rFonts w:ascii="宋体" w:hAnsi="宋体" w:eastAsia="宋体" w:cs="宋体"/>
        <w:sz w:val="27"/>
        <w:szCs w:val="27"/>
      </w:rPr>
    </w:pPr>
    <w:r>
      <w:rPr>
        <w:sz w:val="27"/>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- 21 -</w:t>
                    </w:r>
                    <w:r>
                      <w:rPr>
                        <w:rFonts w:hint="eastAsia" w:ascii="宋体" w:hAnsi="宋体" w:eastAsia="宋体" w:cs="宋体"/>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3"/>
      </w:tabs>
      <w:spacing w:line="241" w:lineRule="exact"/>
      <w:ind w:left="635"/>
      <w:rPr>
        <w:rFonts w:ascii="Arial"/>
        <w:sz w:val="21"/>
      </w:rPr>
    </w:pPr>
    <w:r>
      <w:rPr>
        <w:sz w:val="21"/>
      </w:rPr>
      <mc:AlternateContent>
        <mc:Choice Requires="wps">
          <w:drawing>
            <wp:anchor distT="0" distB="0" distL="114300" distR="114300" simplePos="0" relativeHeight="251669504" behindDoc="0" locked="0" layoutInCell="1" allowOverlap="1">
              <wp:simplePos x="0" y="0"/>
              <wp:positionH relativeFrom="margin">
                <wp:posOffset>9082405</wp:posOffset>
              </wp:positionH>
              <wp:positionV relativeFrom="paragraph">
                <wp:posOffset>-9525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715.15pt;margin-top:-0.75pt;height:144pt;width:144pt;mso-position-horizontal-relative:margin;mso-wrap-style:none;z-index:251669504;mso-width-relative:page;mso-height-relative:page;" filled="f" stroked="f" coordsize="21600,21600" o:gfxdata="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gRHJfYAAAADAEAAA8AAAAAAAAAAQAgAAAAIgAAAGRycy9k&#10;b3ducmV2LnhtbFBLAQIUABQAAAAIAIdO4kCuuuM7yQEAAJsDAAAOAAAAAAAAAAEAIAAAACcBAABk&#10;cnMvZTJvRG9jLnhtbFBLBQYAAAAABgAGAFkBAABiBQ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- 22 -</w:t>
                    </w:r>
                    <w:r>
                      <w:rPr>
                        <w:rFonts w:hint="eastAsia" w:ascii="宋体" w:hAnsi="宋体" w:eastAsia="宋体" w:cs="宋体"/>
                        <w:sz w:val="28"/>
                        <w:szCs w:val="2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right="615"/>
      <w:jc w:val="right"/>
      <w:rPr>
        <w:rFonts w:ascii="宋体" w:hAnsi="宋体" w:eastAsia="宋体" w:cs="宋体"/>
        <w:sz w:val="30"/>
        <w:szCs w:val="30"/>
      </w:rPr>
    </w:pPr>
    <w:r>
      <w:rPr>
        <w:sz w:val="30"/>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path/>
              <v:fill on="f" focussize="0,0"/>
              <v:stroke on="f"/>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- 23 -</w:t>
                    </w:r>
                    <w:r>
                      <w:rPr>
                        <w:rFonts w:hint="eastAsia" w:ascii="宋体" w:hAnsi="宋体" w:eastAsia="宋体" w:cs="宋体"/>
                        <w:sz w:val="28"/>
                        <w:szCs w:val="2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3" w:lineRule="auto"/>
      <w:ind w:left="614"/>
      <w:rPr>
        <w:rFonts w:ascii="宋体" w:hAnsi="宋体" w:eastAsia="宋体" w:cs="宋体"/>
        <w:sz w:val="27"/>
        <w:szCs w:val="27"/>
      </w:rPr>
    </w:pPr>
    <w:r>
      <w:rPr>
        <w:sz w:val="2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5NjBiYzY1MDI4NTJmYzMzZmE1OTlkNjg1YmNkN2QifQ=="/>
  </w:docVars>
  <w:rsids>
    <w:rsidRoot w:val="3BD55AC8"/>
    <w:rsid w:val="30182689"/>
    <w:rsid w:val="35730AB4"/>
    <w:rsid w:val="3BD55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unhideWhenUsed/>
    <w:qFormat/>
    <w:uiPriority w:val="99"/>
    <w:pPr>
      <w:ind w:firstLine="420" w:firstLineChars="100"/>
    </w:pPr>
  </w:style>
  <w:style w:type="paragraph" w:styleId="3">
    <w:name w:val="Body Text"/>
    <w:basedOn w:val="1"/>
    <w:next w:val="4"/>
    <w:qFormat/>
    <w:uiPriority w:val="99"/>
    <w:pPr>
      <w:widowControl/>
      <w:wordWrap w:val="0"/>
    </w:pPr>
    <w:rPr>
      <w:rFonts w:ascii="宋体" w:eastAsia="Times New Roman"/>
      <w:kern w:val="0"/>
    </w:rPr>
  </w:style>
  <w:style w:type="paragraph" w:customStyle="1" w:styleId="4">
    <w:name w:val="目录 81"/>
    <w:next w:val="1"/>
    <w:qFormat/>
    <w:uiPriority w:val="0"/>
    <w:pPr>
      <w:wordWrap w:val="0"/>
      <w:ind w:left="2975"/>
      <w:jc w:val="both"/>
    </w:pPr>
    <w:rPr>
      <w:rFonts w:ascii="Times New Roman" w:hAnsi="Times New Roman" w:eastAsia="宋体" w:cs="Times New Roman"/>
      <w:sz w:val="21"/>
      <w:lang w:val="en-US" w:eastAsia="zh-CN" w:bidi="ar-SA"/>
    </w:rPr>
  </w:style>
  <w:style w:type="paragraph" w:styleId="5">
    <w:name w:val="toc 6"/>
    <w:basedOn w:val="1"/>
    <w:next w:val="1"/>
    <w:unhideWhenUsed/>
    <w:qFormat/>
    <w:uiPriority w:val="39"/>
    <w:pPr>
      <w:widowControl/>
      <w:wordWrap w:val="0"/>
      <w:ind w:left="1700"/>
    </w:pPr>
    <w:rPr>
      <w:rFonts w:ascii="Times New Roman" w:hAnsi="Times New Roman" w:cs="Times New Roman"/>
      <w:kern w:val="0"/>
    </w:rPr>
  </w:style>
  <w:style w:type="paragraph" w:styleId="6">
    <w:name w:val="footer"/>
    <w:basedOn w:val="1"/>
    <w:uiPriority w:val="0"/>
    <w:pPr>
      <w:tabs>
        <w:tab w:val="center" w:pos="4153"/>
        <w:tab w:val="right" w:pos="8306"/>
      </w:tabs>
      <w:snapToGrid w:val="0"/>
      <w:jc w:val="left"/>
    </w:pPr>
    <w:rPr>
      <w:sz w:val="18"/>
      <w:szCs w:val="2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54</Words>
  <Characters>54</Characters>
  <Lines>0</Lines>
  <Paragraphs>0</Paragraphs>
  <TotalTime>0</TotalTime>
  <ScaleCrop>false</ScaleCrop>
  <LinksUpToDate>false</LinksUpToDate>
  <CharactersWithSpaces>103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2023-07-10T08:10:00Z</dcterms:created>
  <dc:creator>Administrator</dc:creator>
  <cp:lastModifiedBy>Administrator</cp:lastModifiedBy>
  <dcterms:modified xsi:type="dcterms:W3CDTF">2023-07-10T08:12:17Z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3F07C6261E3C4355A2E133898A705AE7_13</vt:lpwstr>
  </property>
</Properties>
</file>