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contextualSpacing/>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漠河市消防安全专项整治</w:t>
      </w:r>
    </w:p>
    <w:p>
      <w:pPr>
        <w:snapToGrid w:val="0"/>
        <w:spacing w:line="600" w:lineRule="exact"/>
        <w:contextualSpacing/>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三年行动2021年重点项目清单</w:t>
      </w:r>
    </w:p>
    <w:p>
      <w:pPr>
        <w:widowControl/>
        <w:jc w:val="left"/>
      </w:pPr>
    </w:p>
    <w:tbl>
      <w:tblPr>
        <w:tblStyle w:val="6"/>
        <w:tblW w:w="15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3949"/>
        <w:gridCol w:w="1081"/>
        <w:gridCol w:w="1438"/>
        <w:gridCol w:w="2735"/>
        <w:gridCol w:w="1452"/>
        <w:gridCol w:w="1523"/>
        <w:gridCol w:w="1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706"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专题项目</w:t>
            </w:r>
          </w:p>
        </w:tc>
        <w:tc>
          <w:tcPr>
            <w:tcW w:w="3949"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2021年重点项目任务</w:t>
            </w:r>
          </w:p>
        </w:tc>
        <w:tc>
          <w:tcPr>
            <w:tcW w:w="1081"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牵头</w:t>
            </w:r>
          </w:p>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部门</w:t>
            </w:r>
          </w:p>
        </w:tc>
        <w:tc>
          <w:tcPr>
            <w:tcW w:w="1438"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配合部门</w:t>
            </w:r>
          </w:p>
        </w:tc>
        <w:tc>
          <w:tcPr>
            <w:tcW w:w="2735"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推进计划</w:t>
            </w:r>
          </w:p>
        </w:tc>
        <w:tc>
          <w:tcPr>
            <w:tcW w:w="1452"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消防大队</w:t>
            </w:r>
          </w:p>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负责人</w:t>
            </w:r>
          </w:p>
        </w:tc>
        <w:tc>
          <w:tcPr>
            <w:tcW w:w="1523"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完成时限</w:t>
            </w:r>
          </w:p>
        </w:tc>
        <w:tc>
          <w:tcPr>
            <w:tcW w:w="1675" w:type="dxa"/>
            <w:noWrap w:val="0"/>
            <w:vAlign w:val="center"/>
          </w:tcPr>
          <w:p>
            <w:pPr>
              <w:widowControl/>
              <w:spacing w:line="400" w:lineRule="exact"/>
              <w:jc w:val="center"/>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2021年任务完成情况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（一）实施打通消防车通道工程</w:t>
            </w:r>
          </w:p>
        </w:tc>
        <w:tc>
          <w:tcPr>
            <w:tcW w:w="3949"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1.巩固消防车通道标识化管理工作。小区、重点单位全部完成消防车通道施划任务，开春后自检自查住宅小区和重点单位消防车通道划线情况，对消防车通道标线模糊或者不规范的要重新施划。</w:t>
            </w:r>
          </w:p>
        </w:tc>
        <w:tc>
          <w:tcPr>
            <w:tcW w:w="1081"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住建部门、其他建筑管理使用单位，相关行业管理部门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1、开春后，将未施划的小区、重点单位全部施划消防车通道标志。2、自检自查住宅小区和重点单位消防车通道划线情况，对消防车通道标线模糊或者不规范的要重新施划。</w:t>
            </w:r>
          </w:p>
        </w:tc>
        <w:tc>
          <w:tcPr>
            <w:tcW w:w="1452"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2021.8.31</w:t>
            </w:r>
          </w:p>
        </w:tc>
        <w:tc>
          <w:tcPr>
            <w:tcW w:w="1675" w:type="dxa"/>
            <w:noWrap w:val="0"/>
            <w:vAlign w:val="center"/>
          </w:tcPr>
          <w:p>
            <w:pPr>
              <w:adjustRightInd w:val="0"/>
              <w:snapToGrid w:val="0"/>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2.按照“一城一策”或“一区一策”方案，推进老旧小区消防车通道治理，分类、分批督办整改，2021年至少完成90%。</w:t>
            </w:r>
          </w:p>
        </w:tc>
        <w:tc>
          <w:tcPr>
            <w:tcW w:w="1081"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住建、自然资源、城管执法等部门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按照方案，持续推动老旧小区堵塞、占用消防车通道治理工作。</w:t>
            </w:r>
          </w:p>
        </w:tc>
        <w:tc>
          <w:tcPr>
            <w:tcW w:w="1452"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adjustRightInd w:val="0"/>
              <w:snapToGrid w:val="0"/>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3.加强停车设施规划建设，增加老旧小区及人员密集场所停车泊位线500㎡。</w:t>
            </w:r>
          </w:p>
        </w:tc>
        <w:tc>
          <w:tcPr>
            <w:tcW w:w="1081"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住建、城管执法、公安、自然资源等部门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增加老旧小区及人员密集场所停车泊位线500㎡</w:t>
            </w:r>
          </w:p>
        </w:tc>
        <w:tc>
          <w:tcPr>
            <w:tcW w:w="1452"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2021.8.31</w:t>
            </w:r>
          </w:p>
        </w:tc>
        <w:tc>
          <w:tcPr>
            <w:tcW w:w="1675" w:type="dxa"/>
            <w:noWrap w:val="0"/>
            <w:vAlign w:val="center"/>
          </w:tcPr>
          <w:p>
            <w:pPr>
              <w:adjustRightInd w:val="0"/>
              <w:snapToGrid w:val="0"/>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4.建立完善并落实多部门联合执法管理机制，畅通信息共享渠道，依法查处占用、堵塞、封闭消防车通道等违法行为。</w:t>
            </w:r>
          </w:p>
        </w:tc>
        <w:tc>
          <w:tcPr>
            <w:tcW w:w="1081"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住建、公安、交通、城管执法、广播电视台等部门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联合住建、公安、交通、城管、广播电视台等部门印发联合整治方案。年内至少办理5起</w:t>
            </w:r>
          </w:p>
        </w:tc>
        <w:tc>
          <w:tcPr>
            <w:tcW w:w="1452"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adjustRightInd w:val="0"/>
              <w:snapToGrid w:val="0"/>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0"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（二）集中开展九类场所消防安全治理</w:t>
            </w:r>
          </w:p>
        </w:tc>
        <w:tc>
          <w:tcPr>
            <w:tcW w:w="3949" w:type="dxa"/>
            <w:noWrap w:val="0"/>
            <w:vAlign w:val="center"/>
          </w:tcPr>
          <w:p>
            <w:pPr>
              <w:pStyle w:val="5"/>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5.深化“</w:t>
            </w:r>
            <w:r>
              <w:rPr>
                <w:rFonts w:hint="eastAsia" w:ascii="仿宋_GB2312" w:hAnsi="仿宋_GB2312" w:eastAsia="仿宋_GB2312" w:cs="仿宋_GB2312"/>
                <w:sz w:val="24"/>
                <w:szCs w:val="24"/>
                <w:lang w:eastAsia="zh-CN"/>
              </w:rPr>
              <w:t>全市</w:t>
            </w:r>
            <w:r>
              <w:rPr>
                <w:rFonts w:hint="eastAsia" w:ascii="仿宋_GB2312" w:hAnsi="仿宋_GB2312" w:eastAsia="仿宋_GB2312" w:cs="仿宋_GB2312"/>
                <w:sz w:val="24"/>
                <w:szCs w:val="24"/>
              </w:rPr>
              <w:t>大型商场市场火灾隐患排查整治‘回头看’工作”，完成大型商场市场检查治理，固化“七个一”活动，完善自我管理机制，在全区召开“一行业部门一示范单位”消防安全标准化管理达标创建工作。</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市场监管、商务等部门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联合</w:t>
            </w: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商务局印发《</w:t>
            </w:r>
            <w:r>
              <w:rPr>
                <w:rFonts w:hint="eastAsia" w:ascii="仿宋_GB2312" w:hAnsi="仿宋_GB2312" w:eastAsia="仿宋_GB2312" w:cs="仿宋_GB2312"/>
                <w:sz w:val="24"/>
                <w:szCs w:val="24"/>
                <w:lang w:eastAsia="zh-CN"/>
              </w:rPr>
              <w:t>全市</w:t>
            </w:r>
            <w:r>
              <w:rPr>
                <w:rFonts w:hint="eastAsia" w:ascii="仿宋_GB2312" w:hAnsi="仿宋_GB2312" w:eastAsia="仿宋_GB2312" w:cs="仿宋_GB2312"/>
                <w:sz w:val="24"/>
                <w:szCs w:val="24"/>
              </w:rPr>
              <w:t>大型商场市场消防安全专项整治实施方案》；组织专家团队对大型商场市场开展巡回体检；建立全</w:t>
            </w: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大型商场市场消防安全管理档案卡；针对8类关键人开展集中约谈、培训；开展隐患曝光。</w:t>
            </w:r>
          </w:p>
        </w:tc>
        <w:tc>
          <w:tcPr>
            <w:tcW w:w="1452" w:type="dxa"/>
            <w:noWrap w:val="0"/>
            <w:vAlign w:val="center"/>
          </w:tcPr>
          <w:p>
            <w:pPr>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2021.5.1</w:t>
            </w:r>
          </w:p>
        </w:tc>
        <w:tc>
          <w:tcPr>
            <w:tcW w:w="1675" w:type="dxa"/>
            <w:noWrap w:val="0"/>
            <w:vAlign w:val="center"/>
          </w:tcPr>
          <w:p>
            <w:pPr>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pStyle w:val="5"/>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6.2021年全面开展林下经济山产品小微企业、家庭作坊消防安全治理回头看，对排查隐患明确整改措施整改计划，逐步推进整改。重点整治违规搭建、违章操作、危化品存储使用不规范、电气线路老化、疏散通道不畅、消防设施损坏、安全培训演练不到位等问题，逐级明确监管责任，逐一落实安全措施。</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公安、住建、农业农村部门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制定消安委方案，联合公安、住建、农业农村等部门开展林下经济山产品小微企业、家庭作坊消防安全治理回头看，推动隐患治理。</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2021.10.31</w:t>
            </w:r>
          </w:p>
        </w:tc>
        <w:tc>
          <w:tcPr>
            <w:tcW w:w="1675" w:type="dxa"/>
            <w:noWrap w:val="0"/>
            <w:vAlign w:val="center"/>
          </w:tcPr>
          <w:p>
            <w:pPr>
              <w:widowControl/>
              <w:spacing w:line="400" w:lineRule="exact"/>
              <w:jc w:val="center"/>
              <w:rPr>
                <w:rFonts w:hint="eastAsia"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7.</w:t>
            </w:r>
            <w:r>
              <w:rPr>
                <w:rFonts w:hint="eastAsia" w:ascii="仿宋_GB2312" w:hAnsi="仿宋_GB2312" w:eastAsia="仿宋_GB2312" w:cs="仿宋_GB2312"/>
                <w:sz w:val="24"/>
                <w:szCs w:val="24"/>
              </w:rPr>
              <w:t>以《危险化学品重大危险源企业联合监管机制》为抓手，联合应急管理局、工信部门对全区易燃易爆场所和硝酸铵使用领域开展消防安全专项整治“回头看”工作。</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应急管理局</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工信、住建、城管执法、消防救援等部门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联合应急管理局、工信部门对全市易燃易爆场所和硝酸铵使用领域开展消防安全专项整治“回头看”工作</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2021.9.30</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加大养老场所消防安全排查检查，扎实推进民办养老机构消防安全达标提升工程，联合民政等行业部门组织开展养老场所消防安全大检查，针对检查发现的火灾隐患，督促单位落实整改责任。推行养老机构行业消防安全标准化管理，会同民政部门通过召开现场会、星级评定、质量达标、以奖代补等方式，引导养老机构落实各项消防安全标准，提升养老场所消防管理水平。疫情结束后，联合民政部门开展养老场所隐患整改“回头看”专项检查。</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民政局</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漠河市消防救援大队</w:t>
            </w:r>
          </w:p>
        </w:tc>
        <w:tc>
          <w:tcPr>
            <w:tcW w:w="2735" w:type="dxa"/>
            <w:noWrap w:val="0"/>
            <w:vAlign w:val="center"/>
          </w:tcPr>
          <w:p>
            <w:pPr>
              <w:adjustRightInd w:val="0"/>
              <w:snapToGrid w:val="0"/>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疫情结束后，联合民政部门开展养老场所隐患整改“回头看”专项检查。</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9.联合文旅部门集中开展文博单位、旅游景区消防安全检查，并建立“两个清单”，切实消除火灾隐患，坚决杜绝发生有影响的火灾事故。</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文旅局</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漠河市消防救援大队</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联合文旅部门印发《全区文物火灾隐患排查整治工作实施方案》。</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2021.3.31</w:t>
            </w:r>
          </w:p>
        </w:tc>
        <w:tc>
          <w:tcPr>
            <w:tcW w:w="1675" w:type="dxa"/>
            <w:noWrap w:val="0"/>
            <w:vAlign w:val="center"/>
          </w:tcPr>
          <w:p>
            <w:pPr>
              <w:widowControl/>
              <w:spacing w:line="400" w:lineRule="exact"/>
              <w:jc w:val="center"/>
              <w:rPr>
                <w:rFonts w:hint="eastAsia"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10.联合教育部门开展公办幼儿园和民办学校消防安全检查，推动漠河市2家长期无法整改消防安全隐患的学校，在2021年底前完成整改任务。</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sz w:val="24"/>
                <w:szCs w:val="24"/>
              </w:rPr>
              <w:t>教育局</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漠河市消防救援大队</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联合教育部门开展公办幼儿园和民办学校消防安全检查。</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2021.12.31</w:t>
            </w:r>
          </w:p>
        </w:tc>
        <w:tc>
          <w:tcPr>
            <w:tcW w:w="1675" w:type="dxa"/>
            <w:noWrap w:val="0"/>
            <w:vAlign w:val="center"/>
          </w:tcPr>
          <w:p>
            <w:pPr>
              <w:widowControl/>
              <w:spacing w:line="400" w:lineRule="exact"/>
              <w:jc w:val="center"/>
              <w:rPr>
                <w:rFonts w:hint="eastAsia"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5" w:hRule="atLeast"/>
          <w:jc w:val="center"/>
        </w:trPr>
        <w:tc>
          <w:tcPr>
            <w:tcW w:w="1706" w:type="dxa"/>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（三）坚决遏制“小火亡人”事故</w:t>
            </w: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集中开展坚决遏制“小火亡人”事故工作，通过联合发文、召开会议等形式，督促各县（市）、区人民政府和有关部门扎实开展“小火亡人”事故防控工作。加强对公安派出所的培训指导，不断提升公安派出所履行消防监督职能的能力和水平。提请政府加大弱势群体物防、技防建设资金投入，不断夯实火灾防控基础。</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公安局、</w:t>
            </w:r>
            <w:r>
              <w:rPr>
                <w:rFonts w:hint="eastAsia" w:ascii="仿宋_GB2312" w:hAnsi="仿宋_GB2312" w:eastAsia="仿宋_GB2312" w:cs="仿宋_GB2312"/>
                <w:sz w:val="24"/>
                <w:szCs w:val="24"/>
                <w:lang w:eastAsia="zh-CN"/>
              </w:rPr>
              <w:t>应急管理等</w:t>
            </w:r>
            <w:r>
              <w:rPr>
                <w:rFonts w:hint="eastAsia" w:ascii="仿宋_GB2312" w:hAnsi="仿宋_GB2312" w:eastAsia="仿宋_GB2312" w:cs="仿宋_GB2312"/>
                <w:sz w:val="24"/>
                <w:szCs w:val="24"/>
              </w:rPr>
              <w:t>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联合公安局印发《关于进一步加强全市派出所消防监督管理工作的通知》；以消安委名义印发《关于坚决遏制小火亡人事故的通知》；组织消防救援机构对公安派出所民警开展业务培训。</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2021.12.31</w:t>
            </w:r>
          </w:p>
        </w:tc>
        <w:tc>
          <w:tcPr>
            <w:tcW w:w="1675" w:type="dxa"/>
            <w:noWrap w:val="0"/>
            <w:vAlign w:val="center"/>
          </w:tcPr>
          <w:p>
            <w:pPr>
              <w:widowControl/>
              <w:spacing w:line="400" w:lineRule="exact"/>
              <w:jc w:val="center"/>
              <w:rPr>
                <w:rFonts w:hint="eastAsia"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（四）整治老旧场所及新材料新业态等突出风险</w:t>
            </w:r>
          </w:p>
        </w:tc>
        <w:tc>
          <w:tcPr>
            <w:tcW w:w="3949" w:type="dxa"/>
            <w:noWrap w:val="0"/>
            <w:vAlign w:val="center"/>
          </w:tcPr>
          <w:p>
            <w:pPr>
              <w:pStyle w:val="5"/>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12.以街道</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镇为单元，研究制定并推动落实沿街门店、“多合一”、群租房等老旧场所火灾风险本地化防控措施，推动落实管理责任、监管力量、宣传提示和物防技防设施等，有效减少“小火亡人”事故发生。将老旧场所消防风险治理列入办实事工程、民生工程，督办整改一批老旧场所火灾隐患问题。</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各镇、</w:t>
            </w:r>
            <w:r>
              <w:rPr>
                <w:rFonts w:hint="eastAsia" w:ascii="仿宋_GB2312" w:hAnsi="仿宋_GB2312" w:eastAsia="仿宋_GB2312" w:cs="仿宋_GB2312"/>
                <w:kern w:val="0"/>
                <w:sz w:val="24"/>
                <w:szCs w:val="24"/>
              </w:rPr>
              <w:t>住建、公安、</w:t>
            </w:r>
            <w:r>
              <w:rPr>
                <w:rFonts w:hint="eastAsia" w:ascii="仿宋_GB2312" w:hAnsi="仿宋_GB2312" w:eastAsia="仿宋_GB2312" w:cs="仿宋_GB2312"/>
                <w:kern w:val="0"/>
                <w:sz w:val="24"/>
                <w:szCs w:val="24"/>
                <w:lang w:eastAsia="zh-CN"/>
              </w:rPr>
              <w:t>应急管理等</w:t>
            </w:r>
            <w:r>
              <w:rPr>
                <w:rFonts w:hint="eastAsia" w:ascii="仿宋_GB2312" w:hAnsi="仿宋_GB2312" w:eastAsia="仿宋_GB2312" w:cs="仿宋_GB2312"/>
                <w:kern w:val="0"/>
                <w:sz w:val="24"/>
                <w:szCs w:val="24"/>
              </w:rPr>
              <w:t>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以街道</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镇为单位制定沿街门店、“多合一”、群租房等老旧场所消防安全治理方案，细化措施，列出台账。将场所消防风险治理列入办实事工程、民生工程，督办整改一批老旧场所火灾隐患问题。</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pStyle w:val="5"/>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工信、公安、住建、市场监管、应急管理部门按职责履行电动汽车、电动自行车管理责任。市场监管、应急管理部门联合开展整治电动自行车蓄电池非法改装集中行动。推动居民住宅区电动自行车集中充电、停放场所建设，2021年内建设充电桩4个，完成年度任务。</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工信、公安、住建、市场监管、应急管理</w:t>
            </w:r>
            <w:r>
              <w:rPr>
                <w:rFonts w:hint="eastAsia" w:ascii="仿宋_GB2312" w:hAnsi="仿宋_GB2312" w:eastAsia="仿宋_GB2312" w:cs="仿宋_GB2312"/>
                <w:sz w:val="24"/>
                <w:szCs w:val="24"/>
                <w:lang w:eastAsia="zh-CN"/>
              </w:rPr>
              <w:t>等</w:t>
            </w:r>
            <w:r>
              <w:rPr>
                <w:rFonts w:hint="eastAsia" w:ascii="仿宋_GB2312" w:hAnsi="仿宋_GB2312" w:eastAsia="仿宋_GB2312" w:cs="仿宋_GB2312"/>
                <w:sz w:val="24"/>
                <w:szCs w:val="24"/>
              </w:rPr>
              <w:t>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工信、市场监管部门按职责履行电动汽车、电动自行车管理责任。依据居民住宅区设置电动自行车集中充电、停放场所政策意见，作出规划建设部署。推动充电桩建设，计划建设4个。</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2021.10.31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r>
              <w:rPr>
                <w:rFonts w:hint="eastAsia" w:ascii="仿宋_GB2312" w:hAnsi="仿宋_GB2312" w:eastAsia="仿宋_GB2312" w:cs="仿宋_GB2312"/>
                <w:kern w:val="0"/>
                <w:sz w:val="24"/>
                <w:szCs w:val="24"/>
                <w:lang w:bidi="ar"/>
              </w:rPr>
              <w:t>深化电气火灾综合治理，建立并落实“专家查隐患”制度，聘请电气专家辅助开展重点场所消防安全检查。市场监管部门依法查处伪劣电气产品，推动电力部门和公司加强“表后”管理和入户检查，及时消除隐患。强化电工安全资质资格管理，依法查处“无证上岗”及违反操作规程等违法行为。</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市监、</w:t>
            </w:r>
            <w:r>
              <w:rPr>
                <w:rFonts w:hint="eastAsia" w:ascii="仿宋_GB2312" w:hAnsi="仿宋_GB2312" w:eastAsia="仿宋_GB2312" w:cs="仿宋_GB2312"/>
                <w:kern w:val="0"/>
                <w:sz w:val="24"/>
                <w:szCs w:val="24"/>
              </w:rPr>
              <w:t>电力部门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深入推进老旧场所电气线路老化、敷设不规范问题得到有效解决，电气线路火灾明显降低。</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15.城乡规划主管部门、住建部门持续开展违规搭建、违规采用易燃可燃材料的彩钢板房专项检查，依法组织整改一批、拆除一批。</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市</w:t>
            </w:r>
            <w:r>
              <w:rPr>
                <w:rFonts w:hint="eastAsia" w:ascii="仿宋_GB2312" w:hAnsi="仿宋_GB2312" w:eastAsia="仿宋_GB2312" w:cs="仿宋_GB2312"/>
                <w:kern w:val="0"/>
                <w:sz w:val="24"/>
                <w:szCs w:val="24"/>
              </w:rPr>
              <w:t>住建局</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自然资源、消防救援部门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联合住建、自然资源等部门制定彩钢板房消防安全整治方案，开展联合检查，列出台账。</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2021.10.31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16.组织分析评估本地电子商务、物流业、新型商业、乡村旅游等新业态消防安全风险，强化行业消防管理措施，提高安全设防等级。</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商务、市监、住建等部门</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完成本地电子商务物流、电动自行车、彩钢板房等新业态消防安全风险调研评估，提出优化本质消防安全的具体落实措施。</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2021.10.31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（五）打牢乡村地区火灾防控基础</w:t>
            </w: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17.集中治理特色小镇（漠河市北极镇）、林下经济（生产加工）等乡村新兴产业消防管理、消防设施、教育培训等突出问题。</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公安、农业农村、自然资源等部门</w:t>
            </w:r>
          </w:p>
        </w:tc>
        <w:tc>
          <w:tcPr>
            <w:tcW w:w="2735" w:type="dxa"/>
            <w:noWrap w:val="0"/>
            <w:vAlign w:val="center"/>
          </w:tcPr>
          <w:p>
            <w:pPr>
              <w:adjustRightInd w:val="0"/>
              <w:snapToGrid w:val="0"/>
              <w:spacing w:line="40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结合地域特色，依托属地大队开展专项工作。</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18.结合乡村房改、水改、电改、灶改、路改等工作，同步推进消防安全改造。推动镇加强对农村人员密集场所房屋消防安全管理，统筹开展农村地区火灾隐患治理。</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住建、农业农村、自然资源等部门</w:t>
            </w:r>
          </w:p>
        </w:tc>
        <w:tc>
          <w:tcPr>
            <w:tcW w:w="2735" w:type="dxa"/>
            <w:noWrap w:val="0"/>
            <w:vAlign w:val="center"/>
          </w:tcPr>
          <w:p>
            <w:pPr>
              <w:adjustRightInd w:val="0"/>
              <w:snapToGrid w:val="0"/>
              <w:spacing w:line="40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协调相关行业部门，洽谈同步消防改造。依托派出所、镇政府、村委会开展农村地区火灾隐患治理。</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19.贯彻2021年中央1号文件关于“加强县乡村应急管理和消防安全体系建设”部署要求，积极推进消防员和消防文员参与防火工作，探索多种形式建立基层监管力量，依托</w:t>
            </w:r>
            <w:bookmarkStart w:id="0" w:name="_GoBack"/>
            <w:bookmarkEnd w:id="0"/>
            <w:r>
              <w:rPr>
                <w:rFonts w:hint="eastAsia" w:ascii="仿宋_GB2312" w:hAnsi="仿宋_GB2312" w:eastAsia="仿宋_GB2312" w:cs="仿宋_GB2312"/>
                <w:sz w:val="24"/>
                <w:szCs w:val="24"/>
              </w:rPr>
              <w:t>镇消防站（队）、综合执法队伍等建立或明确消防安全管理组织，明确专职防火力量，实现农村消防安全“有人管、有依据、有作用”。</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各镇、</w:t>
            </w:r>
            <w:r>
              <w:rPr>
                <w:rFonts w:hint="eastAsia" w:ascii="仿宋_GB2312" w:hAnsi="仿宋_GB2312" w:eastAsia="仿宋_GB2312" w:cs="仿宋_GB2312"/>
                <w:kern w:val="0"/>
                <w:sz w:val="24"/>
                <w:szCs w:val="24"/>
              </w:rPr>
              <w:t>农业农村部门</w:t>
            </w:r>
          </w:p>
        </w:tc>
        <w:tc>
          <w:tcPr>
            <w:tcW w:w="2735" w:type="dxa"/>
            <w:noWrap w:val="0"/>
            <w:vAlign w:val="center"/>
          </w:tcPr>
          <w:p>
            <w:pPr>
              <w:adjustRightInd w:val="0"/>
              <w:snapToGrid w:val="0"/>
              <w:spacing w:line="40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将农村消防基础设施建设纳入国土空间规划并同步实施</w:t>
            </w:r>
          </w:p>
        </w:tc>
        <w:tc>
          <w:tcPr>
            <w:tcW w:w="1452" w:type="dxa"/>
            <w:noWrap w:val="0"/>
            <w:vAlign w:val="center"/>
          </w:tcPr>
          <w:p>
            <w:pPr>
              <w:widowControl/>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706" w:type="dxa"/>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（六）加强重点行业消防安全管理</w:t>
            </w: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20.教育、民政、文化和旅游、卫生健康、宗教、文物等重点行业部门，集中整治2020年行业系统排查发现的消防安全问题隐患，对一时难以整改的，列出整改计划，明确整改时限，落实整改责任。建立完善行业系统消防安全管理规定，认真落实《火灾风险自查指南》和《检查指引》，固化“风险自知、问题自查、隐患自改”承诺管理机制。民政、文化和旅游、文物等行业部门开展养老机构、文物古建旅游景区消防安全标准化管理试点建设，召开“一行业系统一示范单位”现场会，推广典型经验做法，推动行业消防安全标准化管理。</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教育、民政、文化和旅游、卫生健康、</w:t>
            </w:r>
            <w:r>
              <w:rPr>
                <w:rFonts w:hint="eastAsia" w:ascii="仿宋_GB2312" w:hAnsi="仿宋_GB2312" w:eastAsia="仿宋_GB2312" w:cs="仿宋_GB2312"/>
                <w:sz w:val="24"/>
                <w:szCs w:val="24"/>
                <w:lang w:eastAsia="zh-CN"/>
              </w:rPr>
              <w:t>民宗等部门</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漠河消防救援大队</w:t>
            </w:r>
          </w:p>
        </w:tc>
        <w:tc>
          <w:tcPr>
            <w:tcW w:w="2735" w:type="dxa"/>
            <w:noWrap w:val="0"/>
            <w:vAlign w:val="center"/>
          </w:tcPr>
          <w:p>
            <w:pPr>
              <w:adjustRightInd w:val="0"/>
              <w:snapToGrid w:val="0"/>
              <w:spacing w:line="40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召开“一行业系统一示范单位”现场会，推广典型经验做法，推动行业消防安全标准化管理。</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（七）实施消防信息化管理能力提升工程</w:t>
            </w: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21.推进城市消防大数据管理。2021年，建成地级“智慧消防”平台。</w:t>
            </w:r>
          </w:p>
        </w:tc>
        <w:tc>
          <w:tcPr>
            <w:tcW w:w="1081" w:type="dxa"/>
            <w:vMerge w:val="restart"/>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vMerge w:val="restart"/>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应急、营商</w:t>
            </w:r>
            <w:r>
              <w:rPr>
                <w:rFonts w:hint="eastAsia" w:ascii="仿宋_GB2312" w:hAnsi="仿宋_GB2312" w:eastAsia="仿宋_GB2312" w:cs="仿宋_GB2312"/>
                <w:kern w:val="0"/>
                <w:sz w:val="24"/>
                <w:szCs w:val="24"/>
                <w:lang w:eastAsia="zh-CN"/>
              </w:rPr>
              <w:t>、智慧城市等部门</w:t>
            </w:r>
          </w:p>
        </w:tc>
        <w:tc>
          <w:tcPr>
            <w:tcW w:w="2735" w:type="dxa"/>
            <w:vMerge w:val="restart"/>
            <w:noWrap w:val="0"/>
            <w:vAlign w:val="center"/>
          </w:tcPr>
          <w:p>
            <w:pPr>
              <w:adjustRightInd w:val="0"/>
              <w:snapToGrid w:val="0"/>
              <w:spacing w:line="40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依托“智慧城市”项目落实“智慧消防”建设，力争年底前完成系统建设，接入综合治理平台，构筑网络消防管理体系。</w:t>
            </w:r>
          </w:p>
        </w:tc>
        <w:tc>
          <w:tcPr>
            <w:tcW w:w="1452" w:type="dxa"/>
            <w:noWrap w:val="0"/>
            <w:vAlign w:val="center"/>
          </w:tcPr>
          <w:p>
            <w:pPr>
              <w:spacing w:line="400" w:lineRule="exact"/>
              <w:ind w:firstLine="28" w:firstLine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spacing w:line="400" w:lineRule="exact"/>
              <w:ind w:firstLine="28" w:firstLineChars="12"/>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1706" w:type="dxa"/>
            <w:vMerge w:val="continue"/>
            <w:noWrap w:val="0"/>
            <w:vAlign w:val="center"/>
          </w:tcPr>
          <w:p>
            <w:pPr>
              <w:widowControl/>
              <w:spacing w:line="400" w:lineRule="exact"/>
              <w:rPr>
                <w:rFonts w:hint="eastAsia" w:ascii="楷体_GB2312" w:hAnsi="楷体_GB2312" w:eastAsia="楷体_GB2312" w:cs="楷体_GB2312"/>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22.依托“智慧消防”平台，将消防工作有机融入基层综合治理体系，综合运用社会治理“人、地、事、物”等关联数据信息，构建网络化、社会化、信息化的基层消防管理体系。</w:t>
            </w:r>
          </w:p>
        </w:tc>
        <w:tc>
          <w:tcPr>
            <w:tcW w:w="1081" w:type="dxa"/>
            <w:vMerge w:val="continue"/>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p>
        </w:tc>
        <w:tc>
          <w:tcPr>
            <w:tcW w:w="1438" w:type="dxa"/>
            <w:vMerge w:val="continue"/>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p>
        </w:tc>
        <w:tc>
          <w:tcPr>
            <w:tcW w:w="2735" w:type="dxa"/>
            <w:vMerge w:val="continue"/>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2021.12.31</w:t>
            </w:r>
          </w:p>
        </w:tc>
        <w:tc>
          <w:tcPr>
            <w:tcW w:w="1675" w:type="dxa"/>
            <w:noWrap w:val="0"/>
            <w:vAlign w:val="center"/>
          </w:tcPr>
          <w:p>
            <w:pPr>
              <w:widowControl/>
              <w:spacing w:line="400" w:lineRule="exact"/>
              <w:jc w:val="center"/>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8" w:hRule="atLeast"/>
          <w:jc w:val="center"/>
        </w:trPr>
        <w:tc>
          <w:tcPr>
            <w:tcW w:w="1706" w:type="dxa"/>
            <w:vMerge w:val="restart"/>
            <w:noWrap w:val="0"/>
            <w:vAlign w:val="center"/>
          </w:tcPr>
          <w:p>
            <w:pPr>
              <w:widowControl/>
              <w:spacing w:line="400" w:lineRule="exact"/>
              <w:rPr>
                <w:rFonts w:hint="eastAsia" w:ascii="楷体_GB2312" w:hAnsi="楷体_GB2312" w:eastAsia="楷体_GB2312" w:cs="楷体_GB2312"/>
                <w:kern w:val="0"/>
                <w:sz w:val="24"/>
                <w:szCs w:val="24"/>
              </w:rPr>
            </w:pPr>
            <w:r>
              <w:rPr>
                <w:rFonts w:hint="eastAsia" w:ascii="楷体_GB2312" w:hAnsi="楷体_GB2312" w:eastAsia="楷体_GB2312" w:cs="楷体_GB2312"/>
                <w:kern w:val="0"/>
                <w:sz w:val="24"/>
                <w:szCs w:val="24"/>
              </w:rPr>
              <w:t>（八）实施消防安全素质提升工程</w:t>
            </w:r>
          </w:p>
        </w:tc>
        <w:tc>
          <w:tcPr>
            <w:tcW w:w="3949" w:type="dxa"/>
            <w:noWrap w:val="0"/>
            <w:vAlign w:val="center"/>
          </w:tcPr>
          <w:p>
            <w:pPr>
              <w:widowControl/>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将消防法律法规和消防知识纳入精神文明建设，大队要以安委会名义下发通知，与宣传和组织部门以及精神文明办、党校（行政学院），司法、教育、人社等部门发文、发函的形式，建立和完善全民消防安全素质教育机制。依托职业学校、社会培训机构联合开展消防安全教育培训、普法宣传。</w:t>
            </w:r>
          </w:p>
          <w:p>
            <w:pPr>
              <w:widowControl/>
              <w:spacing w:line="40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全市要扎实开展消防安全大培训活动，拟定培训方案，明确培训人群的详实清单，做到培训人员底数清，要按照重点人群分级分类培训的原则，地方党政机关领导、行业部门负责人，镇（林场）、村居委负责人、社区负责人和派出所民警培训消防法律法规；对社会单位消防安全责任人、管理人等“八类”重点人员，重点培训消防安全管理规定和消防知识。实现培训范围全覆盖。</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宣传和组织部门、司法、教育、人社等安委会成员单位实施</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1.宣传部门将消防安全教育纳入群众性精神文明建设内容。</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2.党校（行政学院）将消防知识纳入相关班次培训内容。</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3.司法行政机关加强消防普法宣传的指导协调和督促落实。</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4.教育部门将消防知识纳入中小学、幼儿园教育内容和高校、高中新生军训课程。</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 组织部、人力资源社会保障部门将消防法律法规和消防知识纳入有关公务员培训、职业培训内容。</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6.消防部门按照重点人群分级分类培训的原则，对各类人群进行消防安全培训。</w:t>
            </w:r>
          </w:p>
        </w:tc>
        <w:tc>
          <w:tcPr>
            <w:tcW w:w="1452" w:type="dxa"/>
            <w:noWrap w:val="0"/>
            <w:vAlign w:val="center"/>
          </w:tcPr>
          <w:p>
            <w:pPr>
              <w:widowControl/>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2021.12.30</w:t>
            </w:r>
          </w:p>
        </w:tc>
        <w:tc>
          <w:tcPr>
            <w:tcW w:w="1675" w:type="dxa"/>
            <w:noWrap w:val="0"/>
            <w:vAlign w:val="center"/>
          </w:tcPr>
          <w:p>
            <w:pPr>
              <w:adjustRightInd w:val="0"/>
              <w:snapToGrid w:val="0"/>
              <w:spacing w:line="400" w:lineRule="exact"/>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706" w:type="dxa"/>
            <w:vMerge w:val="continue"/>
            <w:noWrap w:val="0"/>
            <w:vAlign w:val="center"/>
          </w:tcPr>
          <w:p>
            <w:pPr>
              <w:widowControl/>
              <w:spacing w:line="400" w:lineRule="exact"/>
              <w:rPr>
                <w:rFonts w:eastAsia="方正黑体_GBK"/>
                <w:kern w:val="0"/>
                <w:sz w:val="24"/>
                <w:szCs w:val="24"/>
              </w:rPr>
            </w:pPr>
          </w:p>
        </w:tc>
        <w:tc>
          <w:tcPr>
            <w:tcW w:w="3949" w:type="dxa"/>
            <w:noWrap w:val="0"/>
            <w:vAlign w:val="center"/>
          </w:tcPr>
          <w:p>
            <w:pPr>
              <w:widowControl/>
              <w:spacing w:line="400" w:lineRule="exac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sz w:val="24"/>
                <w:szCs w:val="24"/>
              </w:rPr>
              <w:t>24.2021年要依托科普教育基地投入使用。</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教育部门、社会单位（场所）</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应急消防科普教育基地投入使用。</w:t>
            </w:r>
          </w:p>
        </w:tc>
        <w:tc>
          <w:tcPr>
            <w:tcW w:w="1452" w:type="dxa"/>
            <w:noWrap w:val="0"/>
            <w:vAlign w:val="center"/>
          </w:tcPr>
          <w:p>
            <w:pPr>
              <w:widowControl/>
              <w:spacing w:line="4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2021.11.30</w:t>
            </w:r>
          </w:p>
        </w:tc>
        <w:tc>
          <w:tcPr>
            <w:tcW w:w="1675" w:type="dxa"/>
            <w:noWrap w:val="0"/>
            <w:vAlign w:val="center"/>
          </w:tcPr>
          <w:p>
            <w:pPr>
              <w:adjustRightInd w:val="0"/>
              <w:snapToGrid w:val="0"/>
              <w:spacing w:line="400" w:lineRule="exact"/>
              <w:rPr>
                <w:rFonts w:hint="eastAsia"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1706" w:type="dxa"/>
            <w:vMerge w:val="continue"/>
            <w:noWrap w:val="0"/>
            <w:vAlign w:val="center"/>
          </w:tcPr>
          <w:p>
            <w:pPr>
              <w:widowControl/>
              <w:spacing w:line="400" w:lineRule="exact"/>
              <w:rPr>
                <w:rFonts w:eastAsia="方正黑体_GBK"/>
                <w:kern w:val="0"/>
                <w:sz w:val="24"/>
                <w:szCs w:val="24"/>
              </w:rPr>
            </w:pPr>
          </w:p>
        </w:tc>
        <w:tc>
          <w:tcPr>
            <w:tcW w:w="3949" w:type="dxa"/>
            <w:noWrap w:val="0"/>
            <w:vAlign w:val="center"/>
          </w:tcPr>
          <w:p>
            <w:pP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sz w:val="24"/>
                <w:szCs w:val="24"/>
              </w:rPr>
              <w:t>25.</w:t>
            </w:r>
            <w:r>
              <w:rPr>
                <w:rFonts w:hint="eastAsia" w:ascii="仿宋_GB2312" w:hAnsi="仿宋_GB2312" w:eastAsia="仿宋_GB2312" w:cs="仿宋_GB2312"/>
                <w:color w:val="FF0000"/>
                <w:kern w:val="0"/>
                <w:sz w:val="24"/>
                <w:szCs w:val="24"/>
                <w:lang w:bidi="ar"/>
              </w:rPr>
              <w:t xml:space="preserve"> </w:t>
            </w:r>
            <w:r>
              <w:rPr>
                <w:rFonts w:hint="eastAsia" w:ascii="仿宋_GB2312" w:hAnsi="仿宋_GB2312" w:eastAsia="仿宋_GB2312" w:cs="仿宋_GB2312"/>
                <w:sz w:val="24"/>
                <w:szCs w:val="24"/>
              </w:rPr>
              <w:t>深入开展消防安全宣传体验教育，在各类主题宣传活动中充分利用消防主题公园、消防文化街或广场。条件允许情况下，要进一步完善其功能设施，开展形式多样的消防安全宣传体验教育活动。</w:t>
            </w:r>
          </w:p>
        </w:tc>
        <w:tc>
          <w:tcPr>
            <w:tcW w:w="1081"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漠河市消防救援大队</w:t>
            </w:r>
          </w:p>
        </w:tc>
        <w:tc>
          <w:tcPr>
            <w:tcW w:w="1438"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文旅部门、</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社会单位</w:t>
            </w:r>
          </w:p>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（场所）</w:t>
            </w:r>
          </w:p>
        </w:tc>
        <w:tc>
          <w:tcPr>
            <w:tcW w:w="2735"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完善消防主题广场设施功能，充分发挥其宣传作用</w:t>
            </w:r>
          </w:p>
        </w:tc>
        <w:tc>
          <w:tcPr>
            <w:tcW w:w="1452" w:type="dxa"/>
            <w:noWrap w:val="0"/>
            <w:vAlign w:val="center"/>
          </w:tcPr>
          <w:p>
            <w:pPr>
              <w:widowControl/>
              <w:spacing w:line="4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李明</w:t>
            </w:r>
          </w:p>
        </w:tc>
        <w:tc>
          <w:tcPr>
            <w:tcW w:w="1523" w:type="dxa"/>
            <w:noWrap w:val="0"/>
            <w:vAlign w:val="center"/>
          </w:tcPr>
          <w:p>
            <w:pPr>
              <w:adjustRightInd w:val="0"/>
              <w:snapToGrid w:val="0"/>
              <w:spacing w:line="4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2021.12.30</w:t>
            </w:r>
          </w:p>
        </w:tc>
        <w:tc>
          <w:tcPr>
            <w:tcW w:w="1675" w:type="dxa"/>
            <w:noWrap w:val="0"/>
            <w:vAlign w:val="center"/>
          </w:tcPr>
          <w:p>
            <w:pPr>
              <w:adjustRightInd w:val="0"/>
              <w:snapToGrid w:val="0"/>
              <w:spacing w:line="400" w:lineRule="exact"/>
              <w:rPr>
                <w:rFonts w:hint="eastAsia" w:eastAsia="方正仿宋_GBK"/>
                <w:kern w:val="0"/>
                <w:sz w:val="24"/>
                <w:szCs w:val="24"/>
              </w:rPr>
            </w:pPr>
          </w:p>
        </w:tc>
      </w:tr>
    </w:tbl>
    <w:p>
      <w:pPr>
        <w:widowControl/>
        <w:rPr>
          <w:rFonts w:ascii="黑体" w:hAnsi="黑体" w:cs="黑体"/>
          <w:color w:val="000000"/>
          <w:sz w:val="24"/>
          <w:szCs w:val="24"/>
        </w:rPr>
      </w:pPr>
    </w:p>
    <w:p>
      <w:pPr>
        <w:adjustRightInd w:val="0"/>
        <w:snapToGrid w:val="0"/>
        <w:spacing w:line="600" w:lineRule="exact"/>
        <w:ind w:firstLine="480" w:firstLineChars="200"/>
        <w:jc w:val="right"/>
        <w:rPr>
          <w:rFonts w:ascii="仿宋_GB2312" w:hAnsi="华文仿宋" w:eastAsia="仿宋_GB2312"/>
          <w:sz w:val="24"/>
          <w:szCs w:val="24"/>
        </w:rPr>
      </w:pPr>
    </w:p>
    <w:p/>
    <w:sectPr>
      <w:footerReference r:id="rId3" w:type="default"/>
      <w:pgSz w:w="16838" w:h="11906" w:orient="landscape"/>
      <w:pgMar w:top="1418" w:right="1418" w:bottom="1418" w:left="1418"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仿宋体">
    <w:altName w:val="宋体"/>
    <w:panose1 w:val="00000000000000000000"/>
    <w:charset w:val="86"/>
    <w:family w:val="roma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宋体"/>
    <w:panose1 w:val="03000509000000000000"/>
    <w:charset w:val="86"/>
    <w:family w:val="script"/>
    <w:pitch w:val="default"/>
    <w:sig w:usb0="00000000" w:usb1="00000000" w:usb2="00000010" w:usb3="00000000" w:csb0="00040000" w:csb1="00000000"/>
  </w:font>
  <w:font w:name="方正黑体_GBK">
    <w:altName w:val="方正小标宋简体"/>
    <w:panose1 w:val="03000509000000000000"/>
    <w:charset w:val="86"/>
    <w:family w:val="script"/>
    <w:pitch w:val="default"/>
    <w:sig w:usb0="00000000" w:usb1="00000000" w:usb2="00000010" w:usb3="00000000" w:csb0="00040000" w:csb1="00000000"/>
  </w:font>
  <w:font w:name="华文仿宋">
    <w:altName w:val="仿宋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sz w:val="24"/>
        <w:szCs w:val="24"/>
      </w:rP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3437E"/>
    <w:rsid w:val="6D63437E"/>
    <w:rsid w:val="76282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footer"/>
    <w:basedOn w:val="1"/>
    <w:unhideWhenUsed/>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ind w:firstLine="420" w:firstLineChars="200"/>
    </w:pPr>
    <w:rPr>
      <w:rFonts w:ascii="Calibri" w:hAnsi="Calibri" w:eastAsia="仿宋体"/>
      <w:sz w:val="32"/>
      <w:szCs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2021-04-16T02:00:00Z</dcterms:created>
  <dc:creator>孙昕阳.</dc:creator>
  <cp:lastModifiedBy>孙昕阳.</cp:lastModifiedBy>
  <cp:lastPrinted>2021-04-16T02:48:18Z</cp:lastPrinted>
  <dcterms:modified xsi:type="dcterms:W3CDTF">2021-04-16T02:53:24Z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