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附件1</w:t>
      </w:r>
    </w:p>
    <w:p>
      <w:pPr>
        <w:ind w:firstLine="1760" w:firstLineChars="400"/>
        <w:rPr>
          <w:rFonts w:hint="eastAsia" w:ascii="仿宋" w:hAnsi="仿宋" w:eastAsia="仿宋" w:cs="仿宋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规范性文件合法性审查意见</w:t>
      </w:r>
    </w:p>
    <w:p>
      <w:pPr>
        <w:ind w:firstLine="1200" w:firstLineChars="500"/>
        <w:rPr>
          <w:rFonts w:hint="eastAsia" w:ascii="仿宋" w:hAnsi="仿宋" w:eastAsia="仿宋" w:cs="仿宋"/>
          <w:i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1883" w:tblpY="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522"/>
        <w:gridCol w:w="870"/>
        <w:gridCol w:w="1185"/>
        <w:gridCol w:w="525"/>
        <w:gridCol w:w="1038"/>
        <w:gridCol w:w="807"/>
        <w:gridCol w:w="1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028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文件标 题</w:t>
            </w:r>
          </w:p>
        </w:tc>
        <w:tc>
          <w:tcPr>
            <w:tcW w:w="7196" w:type="dxa"/>
            <w:gridSpan w:val="7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028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起草部 门</w:t>
            </w:r>
          </w:p>
        </w:tc>
        <w:tc>
          <w:tcPr>
            <w:tcW w:w="1522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起草人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52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局长</w:t>
            </w:r>
          </w:p>
        </w:tc>
        <w:tc>
          <w:tcPr>
            <w:tcW w:w="1038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807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分管领导</w:t>
            </w:r>
          </w:p>
        </w:tc>
        <w:tc>
          <w:tcPr>
            <w:tcW w:w="1249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9" w:hRule="atLeast"/>
        </w:trPr>
        <w:tc>
          <w:tcPr>
            <w:tcW w:w="1028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起草部门提供的材料</w:t>
            </w:r>
          </w:p>
        </w:tc>
        <w:tc>
          <w:tcPr>
            <w:tcW w:w="7196" w:type="dxa"/>
            <w:gridSpan w:val="7"/>
            <w:noWrap w:val="0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1、规范性文件送审稿；</w:t>
            </w:r>
          </w:p>
          <w:p>
            <w:pPr>
              <w:ind w:firstLine="560" w:firstLineChars="200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2、起草说明，包括规范性文件制定的必要性，拟解决的主要问题以及采取的主要措施，征求意见情况，分歧意见协调处理情况等内容；</w:t>
            </w:r>
          </w:p>
          <w:p>
            <w:pPr>
              <w:ind w:firstLine="560" w:firstLineChars="200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3、法律、法规、规章和上级规范性文件等依据；</w:t>
            </w:r>
          </w:p>
          <w:p>
            <w:pPr>
              <w:ind w:firstLine="560" w:firstLineChars="200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4、解读文件、公平竞争审查等其他与规范性文件有关的材料。</w:t>
            </w:r>
          </w:p>
          <w:p>
            <w:pPr>
              <w:ind w:firstLine="560" w:firstLineChars="200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  <w:t>注：规范性文件的事项依法需要听证的，还应当提供听证材料。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028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司法行政审 查意 见</w:t>
            </w:r>
          </w:p>
        </w:tc>
        <w:tc>
          <w:tcPr>
            <w:tcW w:w="7196" w:type="dxa"/>
            <w:gridSpan w:val="7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>
            <w:pPr>
              <w:ind w:firstLine="720" w:firstLineChars="300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审核人：             负责人：</w:t>
            </w:r>
          </w:p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8224" w:type="dxa"/>
            <w:gridSpan w:val="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备注：起草部门将规范性文件文稿及起草说明、解读文件、公平竞争审查报告等材料司法局，司法局出具同意制发的合法性审查意见后，交办公部门履行发文程序。并报送备案，并对外进行公示。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277A2A"/>
    <w:rsid w:val="2F27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2021-01-13T00:32:00Z</dcterms:created>
  <dc:creator>Administrator</dc:creator>
  <cp:lastModifiedBy>Administrator</cp:lastModifiedBy>
  <dcterms:modified xsi:type="dcterms:W3CDTF">2021-01-13T00:33:23Z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